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ind w:firstLine="0"/>
        <w:rPr>
          <w:rFonts w:hint="eastAsia" w:eastAsia="黑体"/>
          <w:b/>
          <w:bCs/>
          <w:sz w:val="84"/>
          <w:shd w:val="clear" w:color="ffffff" w:fill="d9d9d9"/>
        </w:rPr>
      </w:pPr>
      <w:r>
        <w:rPr>
          <w:rFonts w:hint="eastAsia" w:eastAsia="黑体"/>
          <w:b/>
          <w:bCs/>
          <w:sz w:val="84"/>
          <w:shd w:val="clear" w:color="ffffff" w:fill="d9d9d9"/>
        </w:rPr>
      </w:r>
      <w:r/>
    </w:p>
    <w:p>
      <w:pPr>
        <w:pStyle w:val="75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5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lang w:eastAsia="zh-CN"/>
        </w:rPr>
        <w:t xml:space="preserve">J</w:t>
      </w:r>
      <w:r>
        <w:rPr>
          <w:rFonts w:hint="eastAsia" w:ascii="黑体" w:hAnsi="华文中宋" w:eastAsia="黑体"/>
          <w:bCs/>
          <w:color w:val="auto"/>
          <w:sz w:val="32"/>
          <w:szCs w:val="32"/>
          <w:highlight w:val="none"/>
          <w:lang w:eastAsia="zh-CN"/>
        </w:rPr>
        <w:t xml:space="preserve">SZC-320214-JZCG-G2026-0012</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天一中学新吴分校新建工程电脑采购项目</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无锡国家高新技术产业开发区（无锡市新吴区）教育局</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5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5"/>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55"/>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月</w:t>
      </w:r>
      <w:r/>
    </w:p>
    <w:p>
      <w:pPr>
        <w:pStyle w:val="755"/>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20</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25</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49</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58</w:t>
      </w:r>
      <w:r>
        <w:rPr>
          <w:rFonts w:hint="eastAsia" w:ascii="宋体" w:hAnsi="宋体"/>
          <w:color w:val="auto"/>
          <w:sz w:val="30"/>
          <w:szCs w:val="30"/>
          <w:highlight w:val="none"/>
          <w:lang w:eastAsia="zh-CN"/>
        </w:rPr>
        <w:t xml:space="preserve">）</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无锡国家高新技术产业开发区（无锡市新吴区）教育局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天一中学新吴分校新建工程电脑采购项目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JSZC-320214-JZCG-G2026-0012</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天一中学新吴分校新建工程电脑采购项目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69"/>
        <w:ind w:firstLine="452"/>
        <w:keepLines w:val="0"/>
        <w:keepNext w:val="0"/>
        <w:spacing w:before="0" w:after="0" w:line="500" w:lineRule="exact"/>
        <w:rPr>
          <w:color w:val="auto"/>
          <w:sz w:val="30"/>
          <w:szCs w:val="30"/>
          <w:highlight w:val="none"/>
        </w:rPr>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JSZC-320214-JZCG-G2026-0012</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天一中学新吴分校新建工程电脑采购项目</w:t>
      </w:r>
      <w:bookmarkEnd w:id="11"/>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3.项目预算金额：312.978 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4.项目最高限价：312.978 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69"/>
        <w:ind w:firstLine="452"/>
        <w:keepLines w:val="0"/>
        <w:keepNext w:val="0"/>
        <w:spacing w:before="0" w:after="0" w:line="500" w:lineRule="exact"/>
        <w:rPr>
          <w:color w:val="auto"/>
          <w:sz w:val="30"/>
          <w:szCs w:val="30"/>
          <w:highlight w:val="none"/>
        </w:rPr>
      </w:pPr>
      <w:r/>
      <w:bookmarkStart w:id="12" w:name="_Toc35393791"/>
      <w:r/>
      <w:bookmarkStart w:id="13" w:name="_Toc35393622"/>
      <w:r/>
      <w:bookmarkStart w:id="14" w:name="_Toc38985264"/>
      <w:r/>
      <w:bookmarkStart w:id="15" w:name="_Toc28359003"/>
      <w:r/>
      <w:bookmarkStart w:id="16" w:name="_Toc28359080"/>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623"/>
      <w:r/>
      <w:bookmarkStart w:id="18" w:name="_Toc38985265"/>
      <w:r/>
      <w:bookmarkStart w:id="19" w:name="_Toc28359081"/>
      <w:r/>
      <w:bookmarkStart w:id="20" w:name="_Toc35393792"/>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6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1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6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25</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69"/>
        <w:ind w:firstLine="452"/>
        <w:keepLines w:val="0"/>
        <w:keepNext w:val="0"/>
        <w:spacing w:before="0" w:after="0" w:line="500" w:lineRule="exact"/>
        <w:rPr>
          <w:color w:val="auto"/>
          <w:sz w:val="30"/>
          <w:szCs w:val="30"/>
          <w:highlight w:val="none"/>
        </w:rPr>
      </w:pPr>
      <w:r/>
      <w:bookmarkStart w:id="27" w:name="_Toc35393625"/>
      <w:r/>
      <w:bookmarkStart w:id="28" w:name="_Toc28359007"/>
      <w:r/>
      <w:bookmarkStart w:id="29" w:name="_Toc28359084"/>
      <w:r/>
      <w:bookmarkStart w:id="30" w:name="_Toc38985267"/>
      <w:r/>
      <w:bookmarkStart w:id="31" w:name="_Toc3539379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66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69"/>
        <w:ind w:firstLine="452"/>
        <w:keepLines w:val="0"/>
        <w:keepNext w:val="0"/>
        <w:spacing w:before="0" w:after="0" w:line="500" w:lineRule="exact"/>
        <w:rPr>
          <w:color w:val="auto"/>
          <w:sz w:val="30"/>
          <w:szCs w:val="30"/>
          <w:highlight w:val="none"/>
        </w:rPr>
      </w:pPr>
      <w:r/>
      <w:bookmarkStart w:id="35" w:name="_Toc35393796"/>
      <w:r/>
      <w:bookmarkStart w:id="36" w:name="_Toc38985269"/>
      <w:r/>
      <w:bookmarkStart w:id="37" w:name="_Toc35393627"/>
      <w:r/>
      <w:bookmarkStart w:id="38" w:name="_Toc28359085"/>
      <w:r/>
      <w:bookmarkStart w:id="39" w:name="_Toc28359008"/>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无锡国家高新技术产业开发区（无锡市新吴区）教育局</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址：无锡市新吴区和风路30号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称：无锡市公共资源交易中心新吴分中心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址：无锡市新吴区清晏路与净慧东路交叉口东120米</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left="479" w:firstLine="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采购人项目咨询联系人：陈禹汀、匡晓锋；电话：0510-80595141、15335203332采购人质疑受理联系人：陈禹汀、匡晓锋；电话：0510-80595141、15335203332</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6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w:t>
      </w:r>
      <w:r>
        <w:rPr>
          <w:rFonts w:hint="eastAsia" w:ascii="宋体" w:hAnsi="宋体"/>
          <w:color w:val="000000"/>
          <w:sz w:val="24"/>
          <w:szCs w:val="24"/>
        </w:rPr>
        <w:t xml:space="preserve">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在“无锡政府采购网”“江苏政府采购网”发布的更正公告。</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669"/>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20614214"/>
      <w:r/>
      <w:bookmarkStart w:id="50" w:name="_Toc16938519"/>
      <w:r>
        <w:rPr>
          <w:rFonts w:hint="eastAsia"/>
          <w:sz w:val="30"/>
          <w:szCs w:val="30"/>
        </w:rPr>
        <w:t xml:space="preserve">一、总则</w:t>
      </w:r>
      <w:bookmarkEnd w:id="47"/>
      <w:r/>
      <w:bookmarkEnd w:id="48"/>
      <w:r/>
      <w:bookmarkEnd w:id="49"/>
      <w:r/>
      <w:bookmarkEnd w:id="50"/>
      <w:r/>
      <w:r/>
    </w:p>
    <w:p>
      <w:pPr>
        <w:pStyle w:val="67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70"/>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0"/>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70"/>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69"/>
        <w:ind w:firstLine="452"/>
        <w:keepLines w:val="0"/>
        <w:keepNext w:val="0"/>
        <w:spacing w:before="0" w:after="0" w:line="500" w:lineRule="exact"/>
        <w:rPr>
          <w:rFonts w:hint="eastAsia"/>
          <w:sz w:val="30"/>
          <w:szCs w:val="30"/>
        </w:rPr>
      </w:pPr>
      <w:r/>
      <w:bookmarkStart w:id="65" w:name="_Toc513029209"/>
      <w:r/>
      <w:bookmarkStart w:id="66" w:name="_Toc20823281"/>
      <w:r/>
      <w:bookmarkStart w:id="67" w:name="_Toc120614215"/>
      <w:r/>
      <w:bookmarkStart w:id="68" w:name="_Toc16938525"/>
      <w:r>
        <w:rPr>
          <w:rFonts w:hint="eastAsia"/>
          <w:sz w:val="30"/>
          <w:szCs w:val="30"/>
        </w:rPr>
        <w:t xml:space="preserve">二、招标文件</w:t>
      </w:r>
      <w:bookmarkEnd w:id="65"/>
      <w:r/>
      <w:bookmarkEnd w:id="66"/>
      <w:r/>
      <w:bookmarkEnd w:id="67"/>
      <w:r/>
      <w:bookmarkEnd w:id="68"/>
      <w:r/>
      <w:r/>
    </w:p>
    <w:p>
      <w:pPr>
        <w:pStyle w:val="670"/>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0"/>
        <w:ind w:firstLine="422"/>
        <w:keepLines w:val="0"/>
        <w:keepNext w:val="0"/>
        <w:spacing w:before="0" w:after="0" w:line="500" w:lineRule="exact"/>
        <w:rPr>
          <w:rFonts w:hint="eastAsia" w:ascii="宋体" w:hAnsi="宋体" w:eastAsia="宋体"/>
          <w:bCs w:val="0"/>
        </w:rPr>
      </w:pPr>
      <w:r/>
      <w:bookmarkStart w:id="72" w:name="_Toc20823283"/>
      <w:r/>
      <w:bookmarkStart w:id="73" w:name="_Toc16938527"/>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0"/>
        <w:ind w:firstLine="422"/>
        <w:keepLines w:val="0"/>
        <w:keepNext w:val="0"/>
        <w:spacing w:before="0" w:after="0" w:line="500" w:lineRule="exact"/>
        <w:rPr>
          <w:rFonts w:hint="eastAsia" w:ascii="宋体" w:hAnsi="宋体" w:eastAsia="宋体"/>
          <w:bCs w:val="0"/>
          <w:color w:val="auto"/>
        </w:rPr>
      </w:pPr>
      <w:r/>
      <w:bookmarkStart w:id="76" w:name="_Toc16938528"/>
      <w:r/>
      <w:bookmarkStart w:id="77" w:name="_Toc20823284"/>
      <w:r/>
      <w:bookmarkStart w:id="78" w:name="_Toc513029212"/>
      <w:r/>
      <w:bookmarkStart w:id="79" w:name="_Toc462564071"/>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69"/>
        <w:ind w:firstLine="452"/>
        <w:keepLines w:val="0"/>
        <w:keepNext w:val="0"/>
        <w:spacing w:before="0" w:after="0" w:line="500" w:lineRule="exact"/>
        <w:rPr>
          <w:rFonts w:hint="eastAsia"/>
          <w:sz w:val="30"/>
          <w:szCs w:val="30"/>
        </w:rPr>
      </w:pPr>
      <w:r/>
      <w:bookmarkStart w:id="80" w:name="_Toc513029213"/>
      <w:r/>
      <w:bookmarkStart w:id="81" w:name="_Toc20823285"/>
      <w:r/>
      <w:bookmarkStart w:id="82" w:name="_Toc16938529"/>
      <w:r/>
      <w:bookmarkStart w:id="83" w:name="_Toc462564072"/>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670"/>
        <w:ind w:firstLine="422"/>
        <w:keepLines w:val="0"/>
        <w:keepNext w:val="0"/>
        <w:spacing w:before="0" w:after="0" w:line="500" w:lineRule="exact"/>
        <w:rPr>
          <w:rFonts w:hint="eastAsia" w:ascii="宋体" w:hAnsi="宋体" w:eastAsia="宋体"/>
          <w:bCs w:val="0"/>
        </w:rPr>
      </w:pPr>
      <w:r/>
      <w:bookmarkStart w:id="85" w:name="_Toc16938530"/>
      <w:r/>
      <w:bookmarkStart w:id="86" w:name="_Toc462564073"/>
      <w:r/>
      <w:bookmarkStart w:id="87" w:name="_Toc513029214"/>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0"/>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513029215"/>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p>
    <w:p>
      <w:pPr>
        <w:pStyle w:val="670"/>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49090509"/>
      <w:r/>
      <w:bookmarkStart w:id="97" w:name="_Toc14577357"/>
      <w:r/>
      <w:bookmarkStart w:id="98" w:name="_Toc51302921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0"/>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0"/>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670425"/>
      <w:r/>
      <w:bookmarkEnd w:id="109"/>
      <w:r/>
      <w:bookmarkStart w:id="110" w:name="_Hlt26954848"/>
      <w:r/>
      <w:bookmarkEnd w:id="110"/>
      <w:r/>
      <w:bookmarkStart w:id="111" w:name="_Hlt26670482"/>
      <w:r/>
      <w:bookmarkEnd w:id="111"/>
      <w:r/>
      <w:bookmarkStart w:id="112" w:name="_Hlt26954844"/>
      <w:r/>
      <w:bookmarkEnd w:id="112"/>
      <w:r/>
      <w:bookmarkStart w:id="113" w:name="_Hlt26954731"/>
      <w:r/>
      <w:bookmarkEnd w:id="113"/>
      <w:r/>
      <w:bookmarkStart w:id="114" w:name="_Hlt26668983"/>
      <w:r/>
      <w:bookmarkEnd w:id="114"/>
      <w:r/>
      <w:bookmarkStart w:id="115" w:name="_Hlt26670486"/>
      <w:r/>
      <w:bookmarkEnd w:id="115"/>
      <w:r/>
      <w:bookmarkStart w:id="116" w:name="_Hlt26954842"/>
      <w:r/>
      <w:bookmarkEnd w:id="116"/>
      <w:r/>
      <w:bookmarkStart w:id="117" w:name="_Hlt26954846"/>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0"/>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69"/>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513029224"/>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
    </w:p>
    <w:p>
      <w:pPr>
        <w:pStyle w:val="670"/>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0"/>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0"/>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69"/>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
    </w:p>
    <w:p>
      <w:pPr>
        <w:pStyle w:val="670"/>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0"/>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0"/>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0"/>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83"/>
        <w:ind w:firstLine="480"/>
        <w:rPr>
          <w:rFonts w:hint="eastAsia"/>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513029235"/>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highlight w:val="none"/>
        </w:rPr>
        <w:t xml:space="preserve">26.1.17不同投标人的投</w:t>
      </w:r>
      <w:r>
        <w:rPr>
          <w:rFonts w:hint="eastAsia" w:ascii="宋体" w:hAnsi="宋体"/>
          <w:bCs/>
          <w:sz w:val="24"/>
          <w:szCs w:val="24"/>
        </w:rPr>
        <w:t xml:space="preserve">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pStyle w:val="687"/>
        <w:ind w:left="0" w:firstLine="480"/>
        <w:rPr>
          <w:rFonts w:hint="eastAsia"/>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6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7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69"/>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bookmarkEnd w:id="170"/>
      <w:bookmarkEnd w:id="171"/>
      <w:bookmarkEnd w:id="172"/>
      <w:r/>
    </w:p>
    <w:p>
      <w:pPr>
        <w:pStyle w:val="670"/>
        <w:ind w:firstLine="422"/>
        <w:keepLines w:val="0"/>
        <w:keepNext w:val="0"/>
        <w:spacing w:before="0" w:after="0" w:line="500" w:lineRule="exact"/>
        <w:rPr>
          <w:rFonts w:hint="eastAsia" w:ascii="宋体" w:hAnsi="宋体" w:eastAsia="宋体"/>
          <w:bCs w:val="0"/>
        </w:rPr>
      </w:pPr>
      <w:r/>
      <w:bookmarkStart w:id="173" w:name="_Toc20823309"/>
      <w:r/>
      <w:bookmarkStart w:id="174" w:name="_Toc16938553"/>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pStyle w:val="678"/>
        <w:jc w:val="center"/>
        <w:spacing w:line="500" w:lineRule="exact"/>
        <w:rPr>
          <w:rFonts w:hint="eastAsia" w:ascii="黑体" w:eastAsia="黑体"/>
          <w:bCs/>
          <w:sz w:val="36"/>
          <w:szCs w:val="36"/>
        </w:rPr>
      </w:pPr>
      <w:r/>
      <w:bookmarkStart w:id="176" w:name="_Toc120614221"/>
      <w:r/>
      <w:bookmarkStart w:id="177" w:name="_Toc479757207"/>
      <w:r/>
      <w:bookmarkStart w:id="178" w:name="_Toc20823314"/>
      <w:r/>
      <w:bookmarkStart w:id="179" w:name="_Toc513029242"/>
      <w:r/>
      <w:bookmarkStart w:id="180" w:name="_Toc16938558"/>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ascii="宋体" w:hAnsi="宋体"/>
          <w:b/>
          <w:bCs/>
          <w:color w:val="auto"/>
          <w:sz w:val="30"/>
          <w:szCs w:val="20"/>
        </w:rPr>
      </w:pPr>
      <w:r>
        <w:rPr>
          <w:rFonts w:hint="eastAsia" w:ascii="宋体" w:hAnsi="宋体"/>
          <w:b/>
          <w:color w:val="auto"/>
          <w:sz w:val="30"/>
        </w:rPr>
        <w:t xml:space="preserve">江苏省政府采购合同（货物）（合同编号）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 合同经双方加盖单位公章后生效。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p>
    <w:p>
      <w:pPr>
        <w:ind w:firstLine="480"/>
        <w:jc w:val="center"/>
        <w:spacing w:line="400" w:lineRule="exact"/>
        <w:rPr>
          <w:rFonts w:hint="eastAsia" w:hAnsi="宋体"/>
          <w:sz w:val="36"/>
          <w:szCs w:val="36"/>
        </w:rPr>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auto"/>
          <w:sz w:val="30"/>
          <w:szCs w:val="30"/>
        </w:rPr>
        <w:t xml:space="preserve">：货物类项目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本项目标的物所属行业：详见技术要求</w:t>
      </w:r>
      <w:r/>
    </w:p>
    <w:p>
      <w:pPr>
        <w:ind w:firstLine="482"/>
        <w:spacing w:line="360" w:lineRule="auto"/>
        <w:rPr>
          <w:rFonts w:ascii="宋体" w:hAnsi="宋体"/>
          <w:b/>
          <w:bCs/>
          <w:color w:val="ff0000"/>
          <w:sz w:val="24"/>
          <w:szCs w:val="24"/>
        </w:rPr>
      </w:pPr>
      <w:r>
        <w:rPr>
          <w:rFonts w:hint="eastAsia" w:ascii="宋体" w:hAnsi="宋体"/>
          <w:b/>
          <w:bCs/>
          <w:color w:val="ff0000"/>
          <w:sz w:val="24"/>
          <w:szCs w:val="24"/>
        </w:rPr>
        <w:t xml:space="preserve">本项目中的台式计算机一为核心产品。</w:t>
      </w:r>
      <w:r/>
    </w:p>
    <w:p>
      <w:pPr>
        <w:ind w:firstLine="602"/>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w:t>
      </w:r>
      <w:r>
        <w:rPr>
          <w:rFonts w:hint="eastAsia" w:asciiTheme="minorEastAsia" w:hAnsiTheme="minorEastAsia" w:eastAsiaTheme="minorEastAsia" w:cstheme="minorEastAsia"/>
          <w:b/>
          <w:sz w:val="24"/>
          <w:szCs w:val="24"/>
          <w:lang w:val="en-US" w:eastAsia="zh-CN"/>
        </w:rPr>
        <w:t xml:space="preserve">一</w:t>
      </w:r>
      <w:r>
        <w:rPr>
          <w:rFonts w:hint="eastAsia" w:asciiTheme="minorEastAsia" w:hAnsiTheme="minorEastAsia" w:eastAsiaTheme="minorEastAsia" w:cstheme="minorEastAsia"/>
          <w:b/>
          <w:sz w:val="24"/>
          <w:szCs w:val="24"/>
          <w:lang w:eastAsia="zh-CN"/>
        </w:rPr>
        <w:t xml:space="preserve">）</w:t>
      </w:r>
      <w:r>
        <w:rPr>
          <w:rFonts w:hint="eastAsia" w:asciiTheme="minorEastAsia" w:hAnsiTheme="minorEastAsia" w:eastAsiaTheme="minorEastAsia" w:cstheme="minorEastAsia"/>
          <w:b/>
          <w:sz w:val="24"/>
          <w:szCs w:val="24"/>
        </w:rPr>
        <w:t xml:space="preserve">参数清单</w:t>
      </w:r>
      <w:r/>
    </w:p>
    <w:p>
      <w:pPr>
        <w:jc w:val="center"/>
        <w:rPr>
          <w:rFonts w:ascii="华文宋体" w:hAnsi="华文宋体" w:eastAsia="华文宋体"/>
          <w:color w:val="000000"/>
          <w:sz w:val="18"/>
          <w:szCs w:val="18"/>
        </w:rPr>
      </w:pPr>
      <w:r>
        <w:rPr>
          <w:rFonts w:ascii="华文宋体" w:hAnsi="华文宋体" w:eastAsia="华文宋体"/>
          <w:color w:val="000000"/>
          <w:sz w:val="18"/>
          <w:szCs w:val="18"/>
        </w:rPr>
      </w:r>
      <w:r/>
    </w:p>
    <w:tbl>
      <w:tblPr>
        <w:tblStyle w:val="677"/>
        <w:tblW w:w="61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604"/>
        <w:gridCol w:w="2545"/>
        <w:gridCol w:w="809"/>
        <w:gridCol w:w="1023"/>
        <w:gridCol w:w="1761"/>
        <w:gridCol w:w="1761"/>
      </w:tblGrid>
      <w:tr>
        <w:trPr>
          <w:jc w:val="center"/>
          <w:trHeight w:val="621"/>
        </w:trPr>
        <w:tc>
          <w:tcPr>
            <w:tcW w:w="326"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序号</w:t>
            </w:r>
            <w:r/>
          </w:p>
        </w:tc>
        <w:tc>
          <w:tcPr>
            <w:tcW w:w="1158"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名称</w:t>
            </w:r>
            <w:r/>
          </w:p>
        </w:tc>
        <w:tc>
          <w:tcPr>
            <w:tcW w:w="1132"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技术要求</w:t>
            </w:r>
            <w:r/>
          </w:p>
        </w:tc>
        <w:tc>
          <w:tcPr>
            <w:tcW w:w="360"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单位</w:t>
            </w:r>
            <w:r/>
          </w:p>
        </w:tc>
        <w:tc>
          <w:tcPr>
            <w:tcW w:w="455"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数量</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所属行业</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品目</w:t>
            </w:r>
            <w:r/>
          </w:p>
        </w:tc>
      </w:tr>
      <w:tr>
        <w:trPr>
          <w:jc w:val="center"/>
          <w:trHeight w:val="621"/>
        </w:trPr>
        <w:tc>
          <w:tcPr>
            <w:tcW w:w="326"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c>
          <w:tcPr>
            <w:tcW w:w="1158"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台式计算机一</w:t>
            </w:r>
            <w:r/>
          </w:p>
        </w:tc>
        <w:tc>
          <w:tcPr>
            <w:tcW w:w="1132"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详见技术参数要求</w:t>
            </w:r>
            <w:r/>
          </w:p>
        </w:tc>
        <w:tc>
          <w:tcPr>
            <w:tcW w:w="360"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台</w:t>
            </w:r>
            <w:r/>
          </w:p>
        </w:tc>
        <w:tc>
          <w:tcPr>
            <w:tcW w:w="455"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385</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工业</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A0201010</w:t>
            </w:r>
            <w:r>
              <w:rPr>
                <w:rFonts w:hint="eastAsia" w:asciiTheme="minorEastAsia" w:hAnsiTheme="minorEastAsia" w:eastAsiaTheme="minorEastAsia" w:cstheme="minorEastAsia"/>
                <w:color w:val="000000"/>
                <w:sz w:val="22"/>
                <w:szCs w:val="22"/>
                <w:lang w:val="en-US" w:eastAsia="zh-CN"/>
              </w:rPr>
              <w:t xml:space="preserve">5</w:t>
            </w:r>
            <w:r/>
          </w:p>
          <w:p>
            <w:pPr>
              <w:jc w:val="center"/>
              <w:rPr>
                <w:rFonts w:hint="default"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台式计算机</w:t>
            </w:r>
            <w:r/>
          </w:p>
        </w:tc>
      </w:tr>
      <w:tr>
        <w:trPr>
          <w:jc w:val="center"/>
          <w:trHeight w:val="621"/>
        </w:trPr>
        <w:tc>
          <w:tcPr>
            <w:tcW w:w="326"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w:t>
            </w:r>
            <w:r/>
          </w:p>
        </w:tc>
        <w:tc>
          <w:tcPr>
            <w:tcW w:w="1158"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实训台式机</w:t>
            </w:r>
            <w:r/>
          </w:p>
        </w:tc>
        <w:tc>
          <w:tcPr>
            <w:tcW w:w="1132"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详见技术参数要求</w:t>
            </w:r>
            <w:r/>
          </w:p>
        </w:tc>
        <w:tc>
          <w:tcPr>
            <w:tcW w:w="360"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台</w:t>
            </w:r>
            <w:r/>
          </w:p>
        </w:tc>
        <w:tc>
          <w:tcPr>
            <w:tcW w:w="455"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118</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工业</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A0201010</w:t>
            </w:r>
            <w:r>
              <w:rPr>
                <w:rFonts w:hint="eastAsia" w:asciiTheme="minorEastAsia" w:hAnsiTheme="minorEastAsia" w:eastAsiaTheme="minorEastAsia" w:cstheme="minorEastAsia"/>
                <w:color w:val="000000"/>
                <w:sz w:val="22"/>
                <w:szCs w:val="22"/>
                <w:lang w:val="en-US" w:eastAsia="zh-CN"/>
              </w:rPr>
              <w:t xml:space="preserve">5</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lang w:val="en-US" w:eastAsia="zh-CN"/>
              </w:rPr>
              <w:t xml:space="preserve">台式计算机</w:t>
            </w:r>
            <w:r/>
          </w:p>
        </w:tc>
      </w:tr>
      <w:tr>
        <w:trPr>
          <w:jc w:val="center"/>
          <w:trHeight w:val="921"/>
        </w:trPr>
        <w:tc>
          <w:tcPr>
            <w:tcW w:w="326"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w:t>
            </w:r>
            <w:r/>
          </w:p>
        </w:tc>
        <w:tc>
          <w:tcPr>
            <w:tcW w:w="1158"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机房管理软件</w:t>
            </w:r>
            <w:r/>
          </w:p>
        </w:tc>
        <w:tc>
          <w:tcPr>
            <w:tcW w:w="1132"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详见技术参数要求</w:t>
            </w:r>
            <w:r/>
          </w:p>
        </w:tc>
        <w:tc>
          <w:tcPr>
            <w:tcW w:w="360"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套</w:t>
            </w:r>
            <w:r/>
          </w:p>
        </w:tc>
        <w:tc>
          <w:tcPr>
            <w:tcW w:w="455"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385</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软件和信息技术服务业</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lang w:eastAsia="zh-CN"/>
              </w:rPr>
            </w:pPr>
            <w:r>
              <w:rPr>
                <w:rFonts w:hint="eastAsia" w:asciiTheme="minorEastAsia" w:hAnsiTheme="minorEastAsia" w:eastAsiaTheme="minorEastAsia" w:cstheme="minorEastAsia"/>
                <w:color w:val="000000"/>
                <w:sz w:val="22"/>
                <w:szCs w:val="22"/>
              </w:rPr>
              <w:t xml:space="preserve">A0806030</w:t>
            </w:r>
            <w:r>
              <w:rPr>
                <w:rFonts w:hint="eastAsia" w:asciiTheme="minorEastAsia" w:hAnsiTheme="minorEastAsia" w:eastAsiaTheme="minorEastAsia" w:cstheme="minorEastAsia"/>
                <w:color w:val="000000"/>
                <w:sz w:val="22"/>
                <w:szCs w:val="22"/>
                <w:lang w:val="en-US" w:eastAsia="zh-CN"/>
              </w:rPr>
              <w:t xml:space="preserve">3</w:t>
            </w:r>
            <w:r/>
          </w:p>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应用软件</w:t>
            </w:r>
            <w:r/>
          </w:p>
        </w:tc>
      </w:tr>
      <w:tr>
        <w:trPr>
          <w:jc w:val="center"/>
          <w:trHeight w:val="871"/>
        </w:trPr>
        <w:tc>
          <w:tcPr>
            <w:tcW w:w="326"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w:t>
            </w:r>
            <w:r/>
          </w:p>
        </w:tc>
        <w:tc>
          <w:tcPr>
            <w:tcW w:w="1158"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国产操作系统</w:t>
            </w:r>
            <w:r/>
          </w:p>
        </w:tc>
        <w:tc>
          <w:tcPr>
            <w:tcW w:w="1132"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详见技术参数要求</w:t>
            </w:r>
            <w:r/>
          </w:p>
        </w:tc>
        <w:tc>
          <w:tcPr>
            <w:tcW w:w="360"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套</w:t>
            </w:r>
            <w:r/>
          </w:p>
        </w:tc>
        <w:tc>
          <w:tcPr>
            <w:tcW w:w="455"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503</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软件和信息技术服务业</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A08060301</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lang w:val="en-US" w:eastAsia="zh-CN"/>
              </w:rPr>
              <w:t xml:space="preserve">基础软件</w:t>
            </w:r>
            <w:r/>
          </w:p>
        </w:tc>
      </w:tr>
      <w:tr>
        <w:trPr>
          <w:jc w:val="center"/>
          <w:trHeight w:val="921"/>
        </w:trPr>
        <w:tc>
          <w:tcPr>
            <w:tcW w:w="326"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w:t>
            </w:r>
            <w:r/>
          </w:p>
        </w:tc>
        <w:tc>
          <w:tcPr>
            <w:tcW w:w="1158"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杀毒软件</w:t>
            </w:r>
            <w:r/>
          </w:p>
        </w:tc>
        <w:tc>
          <w:tcPr>
            <w:tcW w:w="1132"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详见技术参数要求</w:t>
            </w:r>
            <w:r/>
          </w:p>
        </w:tc>
        <w:tc>
          <w:tcPr>
            <w:tcW w:w="360"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套</w:t>
            </w:r>
            <w:r/>
          </w:p>
        </w:tc>
        <w:tc>
          <w:tcPr>
            <w:tcW w:w="455"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503</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软件和信息技术服务业</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A08060302</w:t>
            </w:r>
            <w:r/>
          </w:p>
          <w:p>
            <w:pPr>
              <w:jc w:val="center"/>
              <w:rPr>
                <w:rFonts w:hint="eastAsia" w:eastAsia="宋体"/>
                <w:lang w:val="en-US" w:eastAsia="zh-CN"/>
              </w:rPr>
            </w:pPr>
            <w:r>
              <w:rPr>
                <w:rFonts w:hint="eastAsia" w:asciiTheme="minorEastAsia" w:hAnsiTheme="minorEastAsia" w:eastAsiaTheme="minorEastAsia" w:cstheme="minorEastAsia"/>
                <w:color w:val="000000"/>
                <w:sz w:val="22"/>
                <w:szCs w:val="22"/>
                <w:lang w:val="en-US" w:eastAsia="zh-CN"/>
              </w:rPr>
              <w:t xml:space="preserve">支撑软件</w:t>
            </w:r>
            <w:r/>
          </w:p>
        </w:tc>
      </w:tr>
      <w:tr>
        <w:trPr>
          <w:jc w:val="center"/>
          <w:trHeight w:val="941"/>
        </w:trPr>
        <w:tc>
          <w:tcPr>
            <w:tcW w:w="326"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w:t>
            </w:r>
            <w:r/>
          </w:p>
        </w:tc>
        <w:tc>
          <w:tcPr>
            <w:tcW w:w="1158"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办公软件</w:t>
            </w:r>
            <w:r/>
          </w:p>
        </w:tc>
        <w:tc>
          <w:tcPr>
            <w:tcW w:w="1132"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详见技术参数要求</w:t>
            </w:r>
            <w:r/>
          </w:p>
        </w:tc>
        <w:tc>
          <w:tcPr>
            <w:tcW w:w="360"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套</w:t>
            </w:r>
            <w:r/>
          </w:p>
        </w:tc>
        <w:tc>
          <w:tcPr>
            <w:tcW w:w="455"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503</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软件和信息技术服务业</w:t>
            </w:r>
            <w:r/>
          </w:p>
        </w:tc>
        <w:tc>
          <w:tcPr>
            <w:tcW w:w="78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A08060301</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lang w:val="en-US" w:eastAsia="zh-CN"/>
              </w:rPr>
              <w:t xml:space="preserve">基础软件</w:t>
            </w:r>
            <w:r/>
          </w:p>
        </w:tc>
      </w:tr>
    </w:tbl>
    <w:p>
      <w:pPr>
        <w:ind w:firstLine="482"/>
        <w:jc w:val="both"/>
        <w:keepLines w:val="0"/>
        <w:keepNext w:val="0"/>
        <w:pageBreakBefore w:val="0"/>
        <w:spacing w:after="5" w:line="360" w:lineRule="auto"/>
        <w:widowControl w:val="off"/>
        <w:rPr>
          <w:rFonts w:hint="eastAsia" w:asciiTheme="minorEastAsia" w:hAnsiTheme="minorEastAsia" w:eastAsiaTheme="minorEastAsia" w:cstheme="minorEastAsia"/>
          <w:b/>
          <w:bCs/>
          <w:color w:val="ff0000"/>
          <w:sz w:val="24"/>
          <w:szCs w:val="22"/>
        </w:rPr>
      </w:pPr>
      <w:r>
        <w:rPr>
          <w:rFonts w:hint="eastAsia" w:asciiTheme="minorEastAsia" w:hAnsiTheme="minorEastAsia" w:eastAsiaTheme="minorEastAsia" w:cstheme="minorEastAsia"/>
          <w:b/>
          <w:bCs/>
          <w:color w:val="ff0000"/>
          <w:sz w:val="24"/>
          <w:szCs w:val="22"/>
        </w:rPr>
        <w:t xml:space="preserve">注：本项目采购的</w:t>
      </w:r>
      <w:r>
        <w:rPr>
          <w:rFonts w:hint="eastAsia" w:asciiTheme="minorEastAsia" w:hAnsiTheme="minorEastAsia" w:eastAsiaTheme="minorEastAsia" w:cstheme="minorEastAsia"/>
          <w:b/>
          <w:bCs/>
          <w:color w:val="ff0000"/>
          <w:sz w:val="24"/>
          <w:szCs w:val="22"/>
          <w:lang w:eastAsia="zh-CN"/>
        </w:rPr>
        <w:t xml:space="preserve">台式计算机</w:t>
      </w:r>
      <w:r>
        <w:rPr>
          <w:rFonts w:hint="eastAsia" w:asciiTheme="minorEastAsia" w:hAnsiTheme="minorEastAsia" w:eastAsiaTheme="minorEastAsia" w:cstheme="minorEastAsia"/>
          <w:b/>
          <w:bCs/>
          <w:color w:val="ff0000"/>
          <w:sz w:val="24"/>
          <w:szCs w:val="22"/>
          <w:lang w:val="en-US" w:eastAsia="zh-CN"/>
        </w:rPr>
        <w:t xml:space="preserve">一、</w:t>
      </w:r>
      <w:r>
        <w:rPr>
          <w:rFonts w:hint="eastAsia" w:asciiTheme="minorEastAsia" w:hAnsiTheme="minorEastAsia" w:eastAsiaTheme="minorEastAsia" w:cstheme="minorEastAsia"/>
          <w:b/>
          <w:bCs/>
          <w:color w:val="ff0000"/>
          <w:sz w:val="24"/>
          <w:szCs w:val="22"/>
          <w:lang w:eastAsia="zh-CN"/>
        </w:rPr>
        <w:t xml:space="preserve">实训台式机为政</w:t>
      </w:r>
      <w:r>
        <w:rPr>
          <w:rFonts w:hint="eastAsia" w:asciiTheme="minorEastAsia" w:hAnsiTheme="minorEastAsia" w:eastAsiaTheme="minorEastAsia" w:cstheme="minorEastAsia"/>
          <w:b/>
          <w:bCs/>
          <w:color w:val="ff0000"/>
          <w:sz w:val="24"/>
          <w:szCs w:val="22"/>
        </w:rPr>
        <w:t xml:space="preserve">府强制采购节能产品，投标人只能选择具有节能产品认证证书的产品进行报价；投标时须提供所投</w:t>
      </w:r>
      <w:r>
        <w:rPr>
          <w:rFonts w:hint="eastAsia" w:asciiTheme="minorEastAsia" w:hAnsiTheme="minorEastAsia" w:eastAsiaTheme="minorEastAsia" w:cstheme="minorEastAsia"/>
          <w:b/>
          <w:bCs/>
          <w:color w:val="ff0000"/>
          <w:sz w:val="24"/>
          <w:szCs w:val="22"/>
          <w:lang w:eastAsia="zh-CN"/>
        </w:rPr>
        <w:t xml:space="preserve">台式计算机</w:t>
      </w:r>
      <w:r>
        <w:rPr>
          <w:rFonts w:hint="eastAsia" w:asciiTheme="minorEastAsia" w:hAnsiTheme="minorEastAsia" w:eastAsiaTheme="minorEastAsia" w:cstheme="minorEastAsia"/>
          <w:b/>
          <w:bCs/>
          <w:color w:val="ff0000"/>
          <w:sz w:val="24"/>
          <w:szCs w:val="22"/>
        </w:rPr>
        <w:t xml:space="preserve">由国家确定的认证机构出具的、处于有效期之内的节能产品认证证书扫描件，否则作无效投标文件处理。</w:t>
      </w:r>
      <w:r/>
    </w:p>
    <w:p>
      <w:pPr>
        <w:ind w:firstLine="480"/>
        <w:jc w:val="both"/>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jc w:val="both"/>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（二）主要功能及技术指标</w:t>
      </w:r>
      <w:r/>
    </w:p>
    <w:p>
      <w:pPr>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产品规格：</w:t>
      </w:r>
      <w:r/>
    </w:p>
    <w:tbl>
      <w:tblPr>
        <w:tblStyle w:val="677"/>
        <w:tblW w:w="8989"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1317"/>
        <w:gridCol w:w="930"/>
        <w:gridCol w:w="1408"/>
        <w:gridCol w:w="4788"/>
      </w:tblGrid>
      <w:tr>
        <w:trPr>
          <w:trHeight w:val="720"/>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序号</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指标分类</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一级指标</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二级指标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台式计算机一</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*CPU信息</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≥8核16线程、主频3.0GHz、末级缓存16MB、热设=设计功能70W、内存最高速率3200MHz、通道数2、位宽64位</w:t>
            </w:r>
            <w:r/>
          </w:p>
        </w:tc>
      </w:tr>
      <w:tr>
        <w:trPr>
          <w:trHeight w:val="254"/>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*内存配置容量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≥16 GB</w:t>
            </w:r>
            <w:r/>
          </w:p>
        </w:tc>
      </w:tr>
      <w:tr>
        <w:trPr>
          <w:trHeight w:val="90"/>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DDR4</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*内存条配置数量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*主板集成模块</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与处理器相匹配芯片组主板，集成资源扩展模块、计算处理模块、 音频扩展模块等，主板的互联拓扑可 通过处理器或交换电路实现</w:t>
            </w:r>
            <w:r/>
          </w:p>
        </w:tc>
      </w:tr>
      <w:tr>
        <w:trPr>
          <w:trHeight w:val="470"/>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*主板支持的CPU和内存情况</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主板支持的CPU：c86 3230、c86 3250、c86 3330、c86 3350</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内存型号和数量：支持4个及以上内存扩展槽：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主板内置PCIe插槽数量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支持PCIe插槽数量≥4个</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*主板其他内置接口</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SATA接口数量及占用状态：4个SATA接口，空余2个</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M.2接口数量及占用状态：1个M.2接口，空余0个</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USB接口数量及占用状态：无内置USB接口</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*单内存插槽最大可支持容量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≥32GB</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*内存插槽满配时提供的最高内存总容量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≥128GB</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*存储设备规格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*固态盘数量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*固态存储容量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≥1TB</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*机械硬盘总容量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≥1T</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*机械硬盘转速</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≥5400rpm</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机械硬盘接口协议</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支持SATA3.0或SATA3.0及以上接口</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*机械硬盘形态</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2.5英寸或3.5英寸</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固态存储接口协议</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PCIE 4.0 、NVME</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*固态存储形态</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板载形态</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存储设备扩展盘位</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*存储设备其他参数要求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 固态盘符合SJ/T 11654相关规定；</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 机械硬盘准备时间不大于30s；侧面固定螺丝孔数量可为4孔；工作状态环境温度满足5℃~55℃；其它参数符合GB/T 12628相关规定</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内置国产GPU芯片独立显卡</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*独立显卡显存类型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显存类型应为GDDR5/GDDR6/LPDDR4</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*独立显卡显存位宽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显存位宽≥128位</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*独立显卡显存容量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≥4G</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独立显卡接口协议</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支持PCIe协议版本大于等于3.0</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*显示设备规格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*显示屏占比屏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≥89%</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*显示屏分辨率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≥1920x1080</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显示屏像素密度</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≥89像素/英寸</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显示屏可视角度</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水平≥178⁰</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*显示屏尺寸</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≥27英寸</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*显示屏屏幕比例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16:9</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*显示器外观颜色</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黑色</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*显示屏防蓝光</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支持防蓝光模式，蓝光加权辐射亮度比应≤0.0012W/(·cd·sr)（瓦每坎特拉每球面度）</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*显示屏低频闪</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显示屏应支持低频闪≤-35dB</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*显示屏防炫目</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显示屏镜面反射率≤8%</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*外设</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*鼠标数量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*键盘按键数目</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104键</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*键盘连接方式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*键盘键程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2.3mm ~ 4.0mm</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*键盘按键压力</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按键压力应在0.54N±0.14N</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*有线键盘连接线</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≥1.5米</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*键盘颜色</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黑色</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*鼠标连接方式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*有线鼠标连接线</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≥1.5米</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*鼠标DPI分辨率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1000~1600</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*鼠标颜色</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黑色</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*光驱数量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*网络设备规格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*有线网卡数量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*外部接口规格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*USB接口数量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highlight w:val="none"/>
              </w:rPr>
              <w:t xml:space="preserve">主板原生≥10个USB接口，其中USB3.0 Gen1≥8个；</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*视频接口数量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*音频接口数量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≥3个音频接口</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*整机基础规格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*整机外观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（a）产品表面不应有凹痕、划伤、裂缝、变形和污染等。表面涂层均匀，不应起泡、龟裂、脱落和磨损，金属零部件无锈蚀及其它机械损伤；</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（b）产品表面说明功能的文字、符号、标志，应清晰、端正、牢固</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*状态指示灯</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通过指示灯可查看机器运行状态或存储状态</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*整机结构</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（a）机箱应符合 GB/T 4208、GB/T 26246的相关规定；</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（b）产品内部结构应符合通用部件的安装需求；</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（c）所有输入输出接口应符合相关国家或行业标准；</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（d）产品零部件应紧固无松动，可插拔部件应可靠连接，开关、按钮和其它控制部件应灵活可靠，布局应方便使用；</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(e) 所有 I/O 连接器及需插接线缆的部位应预留采购人操作空间，方便插拔解锁与插拔线缆；</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(f) 可插拔板卡插槽部位应预留安装、拆卸或更换板卡空间；</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(g) 拆装可能接触到的金属剪口或金属尖角部位应做防划伤处理，以保证安全；</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(h) 整机内部走线应规整，固线结构和位置要合理可靠并做防割线处理，需便于理线和插拔操作，走线应不影响</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系统各主要部件组装和拆卸；</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(i) 如需通过孔走线，过线孔应做防割线处理；</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(j) 各插头位置和插拔方向应合理，应做到插拔无障碍设计，具备防呆设计，有效避免误操作；</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(k) 各主要部件拆装无障碍，使用常规工具拆装，无特殊拆装工具需求；</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(l) 各主要部件拆装步骤要少，各自拆装需避免相互干扰；</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(m) 对于整机或零部件外表面为高亮面的，应粘贴保护膜，保护膜需粘贴牢固，运输、组装等过程不易脱落，撕下无残留；</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(n) 其它要求应符合 GB/T 9813.1 的相关规定</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*机箱防护要求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机箱符合GB/T 4208中IP20防护要求</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*整机噪音</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产品工作在空闲状态下，产品的噪声声功率级应不超过3.4B</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*整机散热</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在环境温度 25℃及处理器满载情况下，产品表面温度应符合如下要求：</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 出风口在机箱后面板情况下，出风口温度不高于 55℃；</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 可触及面温度不高于 45℃；</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 显示器表面温度：显示屏不高于38℃，显示屏上下灯带位置温度（如涉及）不高于 40℃，出风口温度不高于 45℃</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*整机能效限定值</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产品能效限定值应达到 GB 28380-2012标准中能效等级 1 级及以上</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*机身材质</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金属</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*机身颜色</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黑色</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*机箱尺寸容量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≥10升，不大于30升</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*CPU性能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*CPU物理核数</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*CPU主频</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 GHz</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*CPU末级缓存容量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≥16M</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*CPU支持的内存最高速率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≥3200MT/s</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*内存性能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*内存读写速率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≥3200MT/s</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*显卡性能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*显示分辨率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≥1920*1080</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*显卡显示芯片核心频率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≥1250MHz</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*显存等效频率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≥3733MT/s</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*显卡可支持多屏同时显示数量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显卡应支持2块屏幕同时显示，分辨率应不低于1920x1080</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*显示设备性能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*显示屏刷新率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≥100Hz</w:t>
            </w:r>
            <w:r/>
          </w:p>
        </w:tc>
      </w:tr>
      <w:tr>
        <w:trPr>
          <w:trHeight w:val="313"/>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*显示屏位深</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≥8位</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*显示屏色域</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≥99% sRGB</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*显示屏色准</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△E ≤ 4</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*显示屏响应时间</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≤5ms</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*显示屏亮度</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≥300尼特</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*显示屏亮度一致性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≥80%</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*显示屏对比度</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 ≥3000:1</w:t>
            </w:r>
            <w:r/>
          </w:p>
        </w:tc>
      </w:tr>
      <w:tr>
        <w:trP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81</w:t>
            </w:r>
            <w:r/>
          </w:p>
        </w:tc>
        <w:tc>
          <w:tcPr>
            <w:shd w:val="clear" w:color="auto" w:fill="auto"/>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shd w:val="clear" w:color="auto" w:fill="ffff00"/>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*显示屏其他参数</w:t>
            </w:r>
            <w:r>
              <w:rPr>
                <w:rFonts w:hint="eastAsia" w:asciiTheme="minorEastAsia" w:hAnsiTheme="minorEastAsia" w:eastAsiaTheme="minorEastAsia" w:cstheme="minorEastAsia"/>
                <w:color w:val="000000"/>
                <w:sz w:val="22"/>
                <w:szCs w:val="22"/>
                <w:lang w:eastAsia="zh-CN"/>
              </w:rPr>
              <w:t xml:space="preserve">—</w:t>
            </w:r>
            <w:r>
              <w:rPr>
                <w:rFonts w:hint="eastAsia" w:asciiTheme="minorEastAsia" w:hAnsiTheme="minorEastAsia" w:eastAsiaTheme="minorEastAsia" w:cstheme="minorEastAsia"/>
                <w:color w:val="000000"/>
                <w:sz w:val="22"/>
                <w:szCs w:val="22"/>
                <w:lang w:val="en-US" w:eastAsia="zh-CN"/>
              </w:rPr>
              <w:t xml:space="preserve">数量</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其他参数应符合SJ/T 11292相关规定</w:t>
            </w:r>
            <w:r>
              <w:rPr>
                <w:rFonts w:hint="eastAsia" w:asciiTheme="minorEastAsia" w:hAnsiTheme="minorEastAsia" w:eastAsiaTheme="minorEastAsia" w:cstheme="minorEastAsia"/>
                <w:color w:val="000000"/>
                <w:sz w:val="22"/>
                <w:szCs w:val="22"/>
                <w:lang w:eastAsia="zh-CN"/>
              </w:rPr>
              <w:t xml:space="preserve">；</w:t>
            </w:r>
            <w:r>
              <w:rPr>
                <w:rFonts w:hint="eastAsia" w:asciiTheme="minorEastAsia" w:hAnsiTheme="minorEastAsia" w:eastAsiaTheme="minorEastAsia" w:cstheme="minorEastAsia"/>
                <w:color w:val="000000"/>
                <w:sz w:val="22"/>
                <w:szCs w:val="22"/>
              </w:rPr>
              <w:t xml:space="preserve">≥1</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*网络设备性能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*有线网卡速率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最高速率应不低于 1000Mbps，应支持10Mbps、100Mbps、1000Mbps 速率自适应</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*内存扩展接口</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*主板USB瞬间过流保护</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支持有瞬间过流保护功能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*主板防静电保护</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支持防静电保护功能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*I/O 接口功能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*显卡外接显示接口</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显卡提供至少VGA、DP、HDMI任意2个显示接口且与显示器接口相匹配</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*显示设备功能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*显示器接口</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显示器应与显卡外接显示接口匹配</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*显示器支架</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显示器应提供显示器支架，支持俯仰调整</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*显示器参数调节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提供OSD选单按钮用于调节色彩、模式等；</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支持色温、亮度、对比度调节</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*存储功能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通过 SATA 固态存储/PCIe 固态存储/UFS 固态存储/SATA 硬磁盘等存储部件提供存储功能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*网络设备功能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*网络功能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a)支持网络连接、网络开启/关闭功能；b)支持访问网络和数据交换功能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*数据传输</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支持数据传输能力，并提供数据流量和异常日志记录功能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*有线网卡接口类型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 RJ45 接口</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*网络设备拆装</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网络设备支持物理拆装，包括无线网卡和蓝牙模块等</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外设功能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光驱功能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光驱应支持只读、刻录等类型;                      最大读取速度 CD 不低于24×150KB/s;</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最大读取速度 DVD不低于8×358KB/s;最大刻录速度CD不低于24×150KB/s;最大刻录速度 DVD 不低于6×1358KB/s;</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兼容光盘类型包含只读光盘、可读写光盘、可擦写光盘等</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*外部接口功能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*视频接口类型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至少支持VGA、DP、HDMI任意2个显示接口且与显示器接口相匹配</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98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w:t>
            </w:r>
            <w:r>
              <w:rPr>
                <w:rFonts w:hint="eastAsia" w:asciiTheme="minorEastAsia" w:hAnsiTheme="minorEastAsia" w:eastAsiaTheme="minorEastAsia" w:cstheme="minorEastAsia"/>
                <w:color w:val="000000"/>
                <w:sz w:val="22"/>
                <w:szCs w:val="22"/>
                <w:lang w:val="en-US" w:eastAsia="zh-CN"/>
              </w:rPr>
              <w:t xml:space="preserve">音</w:t>
            </w:r>
            <w:r>
              <w:rPr>
                <w:rFonts w:hint="eastAsia" w:asciiTheme="minorEastAsia" w:hAnsiTheme="minorEastAsia" w:eastAsiaTheme="minorEastAsia" w:cstheme="minorEastAsia"/>
                <w:color w:val="000000"/>
                <w:sz w:val="22"/>
                <w:szCs w:val="22"/>
              </w:rPr>
              <w:t xml:space="preserve">频接口类型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lang w:bidi="ar"/>
              </w:rPr>
              <w:t xml:space="preserve">支持 3.5mm 孔径 3 段式或 4 段式接口</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*HDMI、DP、Type-C 显示接口要求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若提供HDMI或DP或Type-C作为显示接口，应支持音频和视频同步输出</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*电源功能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*电源线适配能力</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电源适配器电线组件应符合GB/T 15934的要求</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*操作系统及软件功能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*中文信息处理要求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 18030的相关规定</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*操作系统备份及还原功能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支持操作系统备份及还原功能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*固件备份还原能力</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支持备份及还原固件的功能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*操作系统及驱动升级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支持通过网络、闪存盘等方式对操作系统、驱动进行升级</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*固件升级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支持通过网络、闪存盘等方式对固件进行升级</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*BIOS 支持关闭通讯接口</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支持BIOS关闭以太网及USB接口</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*固件查看信息</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支持查看固件版本、内存信息、主板信息、处理器信息和系统时间信息等功能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*固件设置启动顺序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支持设置启动顺序功能，并按照设置的启动顺序启动</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*固件设置口令</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支持设置口令、修改口令、验证口令功能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*固件设置网络引导</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支持网络引导启动和关闭功能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*存储设备可靠性</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*固态存储寿命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TBW ≥200TB</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通电时间≥5万小时</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*显示设备可靠性</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*显示屏屏幕失效点</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9813.2的要求</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*外设可靠性</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*键盘按键寿命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≥1000 万次</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*鼠标按键寿命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≥500万次</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*键盘鼠标线材寿命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键盘鼠标所用线材经±60°弯折不低于3000次，功能、外观完好</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*风扇寿命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≥5万小时</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*整机可靠性要求</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*电磁兼容性要求的抗扰度</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9254.2的规定</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*环境条件要求的气候环境适应性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9813.1中规定</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*环境条件要求的振动适应性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9813.1中规定</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*环境条件要求的冲击适应性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9813.1中规定</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*环境条件要求的碰撞适应性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9813.1中规定</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*环境条件要求的运输包装件跌落适应性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9813.1中规定</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*MTBF测试</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MTBF ≥30万小时</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*兼容要求</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*常用软件兼容</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支持流式软件、版式软件、浏览器、邮件采购人端、解压软件、多媒体、图形图像处理等常用软件</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*数据库兼容</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 3个及以上厂商的数据库产品</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*中间件兼容</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 3个及以上厂商中间件产品</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*平台软件兼容</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 3个及以上厂商云计算及大数据平台</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包装及运输要求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*包装及运输要求</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*标志、包装、运输和贮存</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 GB/T 9813.1 和商品包装政府采购需求标准的相关规定</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*配置检查工具</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供应商提供自检测试工具</w:t>
            </w:r>
            <w:r/>
          </w:p>
        </w:tc>
      </w:tr>
      <w:tr>
        <w:trPr>
          <w:trHeight w:val="1040"/>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*服务响应</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供应商提供电话、电子邮件、远程连接等多种形式服务；</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供应商提供同城4h、异地12h技术响应服务，2个工作日解决问题，对于未能解决的问题和故障应提供可行的升级方案，并提供周转设备或更换设备；</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建立全国技术服务体系和服务团体，符合专业服务体系标准要求，提供原厂中文服务；</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服务周期内提供产品的维修、换件和升级服务</w:t>
            </w:r>
            <w:r/>
          </w:p>
        </w:tc>
      </w:tr>
      <w:tr>
        <w:trPr>
          <w:trHeight w:val="1040"/>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*服务周期</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设备停产后应继续提供质量保障服务（含备品备件），服务终止时间与最后一批设备交付时间间隔不低于8年；</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产品停止服务时间应提前1年告知；</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应明确产品发布日期</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*预装操作系统</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预装符合桌面操作系统政府采购需求，标准的正版国产操作系统；</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*培训服务</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供应商提供培训材料、产品手册、培训视频等培训相关内容</w:t>
            </w:r>
            <w:r/>
          </w:p>
        </w:tc>
      </w:tr>
      <w:tr>
        <w:trPr>
          <w:trHeight w:val="602"/>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*典型问题解决手册</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供应商提供典型问题解决说明文档或视频</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*厂家升级软件与扩容服务</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供应商提供上门升级部件/软件与扩容的增值服务</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*整机质量服务要求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原厂上门免费服务周期（换件和维修）≥3年</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*合格证书要求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供应商提供产品合格证</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*开箱组装/使用指导要求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供应商提供开箱组装/使用指导</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*驱动下载服务要求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供应商提供驱动光盘或下载方式</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*兼容适配软件下载服务要求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供应商提供兼容适配软件下载渠道（光盘、网站）</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*供应链合规性</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*产品部件保障</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供应商保障产品主要部件，提供8年的备件服务能力（自交付之日起）</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*供应链质量</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*抗干扰性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当产品部件出现供应风险时，供应商应通知采购人并提供风险应对方案确保产品的服务保障</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*供应能力证明</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供应商提供供应链稳定承诺书，确保产品的部件在产品服务周期内稳定供货</w:t>
            </w:r>
            <w:r/>
          </w:p>
        </w:tc>
      </w:tr>
      <w:tr>
        <w:trP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*关键部件</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安全要求</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*关键部件安全要求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 和操作系统等关键部件应当符合安全可靠测评要求</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r>
      <w:tr>
        <w:trP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146</w:t>
            </w:r>
            <w:r/>
          </w:p>
        </w:tc>
        <w:tc>
          <w:tcPr>
            <w:shd w:val="clear" w:color="auto" w:fill="ffffff"/>
            <w:tcW w:w="1317" w:type="dxa"/>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shd w:val="clear" w:color="auto" w:fill="ffffff"/>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*整机安全</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性要求</w:t>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*密码算法实现</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 芯片应符合 GM/T 0008 的相关规定，或芯片密码模块应符合 GB/T 37092或 GM/T 0028 的相关规定</w:t>
            </w:r>
            <w:r/>
          </w:p>
        </w:tc>
      </w:tr>
      <w:tr>
        <w:trP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147</w:t>
            </w:r>
            <w:r/>
          </w:p>
        </w:tc>
        <w:tc>
          <w:tcPr>
            <w:shd w:val="clear" w:color="auto" w:fill="ffffff"/>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shd w:val="clear" w:color="auto" w:fill="ffffff"/>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*信息安全基本要求</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（a）产品应符合GB/T 39276的5.2的规定；</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 生产厂商建立漏洞跟踪表，保证产品版本涉及到的漏洞(如驱动程序等)可查看；</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 产品不包含已知的恶意代码或漏洞，不存在未声明的指令、功能、接口</w:t>
            </w:r>
            <w:r/>
          </w:p>
        </w:tc>
      </w:tr>
      <w:tr>
        <w:trP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148</w:t>
            </w:r>
            <w:r/>
          </w:p>
        </w:tc>
        <w:tc>
          <w:tcPr>
            <w:shd w:val="clear" w:color="auto" w:fill="ffffff"/>
            <w:tcW w:w="1317" w:type="dxa"/>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shd w:val="clear" w:color="auto" w:fill="ffffff"/>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*固件安全启动</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支持固件安全启动功能，固件启动过程中只有通过启动校验才能正常启动</w:t>
            </w:r>
            <w:r/>
          </w:p>
        </w:tc>
      </w:tr>
      <w:tr>
        <w:trP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149</w:t>
            </w:r>
            <w:r/>
          </w:p>
        </w:tc>
        <w:tc>
          <w:tcPr>
            <w:shd w:val="clear" w:color="auto" w:fill="ffffff"/>
            <w:tcW w:w="1317" w:type="dxa"/>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shd w:val="clear" w:color="auto" w:fill="ffffff"/>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*限用物质的限量要求</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26572中规定</w:t>
            </w:r>
            <w:r/>
          </w:p>
        </w:tc>
      </w:tr>
      <w:tr>
        <w:trP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150</w:t>
            </w:r>
            <w:r/>
          </w:p>
        </w:tc>
        <w:tc>
          <w:tcPr>
            <w:shd w:val="clear" w:color="auto" w:fill="ffffff"/>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其他要求</w:t>
            </w:r>
            <w:r/>
          </w:p>
        </w:tc>
        <w:tc>
          <w:tcPr>
            <w:shd w:val="clear" w:color="auto" w:fill="ffffff"/>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其他要求</w:t>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是否具有节能认证证书</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是(本项目采购的台式计算机为财政部、发展改革委发布的《节能产品政府采购品目清单》,投标人只能选择具有节能产品认证证书的产品进行投标;投标时须提供所投台式计算机由国家确定的认证机构出具的、处于有效期之内的节能产品认证证书扫描件。)</w:t>
            </w:r>
            <w:r/>
          </w:p>
        </w:tc>
      </w:tr>
      <w:tr>
        <w:trP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eastAsia="zh-CN"/>
              </w:rPr>
            </w:pPr>
            <w:r>
              <w:rPr>
                <w:rFonts w:hint="eastAsia" w:asciiTheme="minorEastAsia" w:hAnsiTheme="minorEastAsia" w:eastAsiaTheme="minorEastAsia" w:cstheme="minorEastAsia"/>
                <w:color w:val="000000"/>
                <w:sz w:val="22"/>
                <w:szCs w:val="22"/>
              </w:rPr>
              <w:t xml:space="preserve">15</w:t>
            </w:r>
            <w:r>
              <w:rPr>
                <w:rFonts w:hint="eastAsia" w:asciiTheme="minorEastAsia" w:hAnsiTheme="minorEastAsia" w:eastAsiaTheme="minorEastAsia" w:cstheme="minorEastAsia"/>
                <w:color w:val="000000"/>
                <w:sz w:val="22"/>
                <w:szCs w:val="22"/>
                <w:lang w:val="en-US" w:eastAsia="zh-CN"/>
              </w:rPr>
              <w:t xml:space="preserve">1</w:t>
            </w:r>
            <w:r/>
          </w:p>
        </w:tc>
        <w:tc>
          <w:tcPr>
            <w:shd w:val="clear" w:color="auto" w:fill="ffffff"/>
            <w:tcW w:w="1317" w:type="dxa"/>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其他要求</w:t>
            </w:r>
            <w:r/>
          </w:p>
        </w:tc>
        <w:tc>
          <w:tcPr>
            <w:shd w:val="clear" w:color="auto" w:fill="ffffff"/>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是否为进口产品</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否</w:t>
            </w:r>
            <w:r/>
          </w:p>
        </w:tc>
      </w:tr>
    </w:tbl>
    <w:p>
      <w:pPr>
        <w:jc w:val="center"/>
        <w:rPr>
          <w:rFonts w:ascii="华文宋体" w:hAnsi="华文宋体" w:eastAsia="华文宋体"/>
          <w:color w:val="000000"/>
          <w:sz w:val="18"/>
          <w:szCs w:val="18"/>
        </w:rPr>
      </w:pPr>
      <w:r>
        <w:rPr>
          <w:rFonts w:ascii="华文宋体" w:hAnsi="华文宋体" w:eastAsia="华文宋体"/>
          <w:color w:val="000000"/>
          <w:sz w:val="18"/>
          <w:szCs w:val="18"/>
        </w:rPr>
      </w:r>
      <w:r/>
    </w:p>
    <w:p>
      <w:pPr>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产品规格：</w:t>
      </w:r>
      <w:r/>
    </w:p>
    <w:tbl>
      <w:tblPr>
        <w:tblStyle w:val="677"/>
        <w:tblpPr w:horzAnchor="page" w:tblpXSpec="center" w:vertAnchor="text" w:tblpY="309" w:leftFromText="180" w:topFromText="0" w:rightFromText="180" w:bottomFromText="0"/>
        <w:tblW w:w="89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1317"/>
        <w:gridCol w:w="930"/>
        <w:gridCol w:w="1408"/>
        <w:gridCol w:w="4788"/>
      </w:tblGrid>
      <w:tr>
        <w:trPr>
          <w:jc w:val="center"/>
          <w:trHeight w:val="720"/>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序号</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指标分类</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一级指标</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二级指标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lang w:val="en-US" w:eastAsia="zh-CN"/>
              </w:rPr>
              <w:t xml:space="preserve">实训</w:t>
            </w:r>
            <w:r>
              <w:rPr>
                <w:rFonts w:hint="eastAsia" w:asciiTheme="minorEastAsia" w:hAnsiTheme="minorEastAsia" w:eastAsiaTheme="minorEastAsia" w:cstheme="minorEastAsia"/>
                <w:color w:val="000000"/>
                <w:sz w:val="22"/>
                <w:szCs w:val="22"/>
              </w:rPr>
              <w:t xml:space="preserve">台式机</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*CPU信息</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≥8核16线程、主频3.0GHz、末级缓存16MB、≥8核16线程、主频3.0GHz、末级缓存16MB、热设=设计功能70W、内存最高速率3200MHz、通道数2、位宽64位</w:t>
            </w:r>
            <w:r/>
          </w:p>
        </w:tc>
      </w:tr>
      <w:tr>
        <w:trPr>
          <w:jc w:val="center"/>
          <w:trHeight w:val="254"/>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*内存配置容量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≥16GB</w:t>
            </w:r>
            <w:r/>
          </w:p>
        </w:tc>
      </w:tr>
      <w:tr>
        <w:trPr>
          <w:jc w:val="center"/>
          <w:trHeight w:val="90"/>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DDR4</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*内存条配置数量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*主板集成模块</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与处理器相匹配芯片组主板，</w:t>
            </w:r>
            <w:r/>
          </w:p>
        </w:tc>
      </w:tr>
      <w:tr>
        <w:trPr>
          <w:jc w:val="center"/>
          <w:trHeight w:val="470"/>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*主板支持的CPU和内存情况</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主板支持的CPU：c86 3230、c86 3250、c86 3330、c86 3350</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内存型号和数量：支持4个及以上内存扩展槽：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主板内置PCIe插槽数量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支持PCIe插槽数量≥4个</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*主板其他内置接口</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SATA接口数量及占用状态：4个SATA接口，空余2个</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M.2接口数量及占用状态：1个M.2接口，空余0个</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USB接口数量及占用状态：无内置USB接口</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*单内存插槽最大可支持容量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≥32GB</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*内存插槽满配时提供的最高内存总容量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≥128GB</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*存储设备规格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*固态盘数量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*固态存储容量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≥1TB</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*机械硬盘总容量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≥1T</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*机械硬盘转速</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≥5400rpm</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机械硬盘接口协议</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支持SATA3.0或SATA3.0及以上接口</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*机械硬盘形态</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2.5英寸或3.5英寸</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固态存储接口协议</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PCIE 4.0 、NVME</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*固态存储形态</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板载形态</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存储设备扩展盘位</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*存储设备其他参数要求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 固态盘符合SJ/T 11654相关规定；</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 机械硬盘准备时间不大于30s；侧面固定螺丝孔数量可为4孔；工作状态环境温度满足5℃~55℃；其它参数符合GB/T 12628相关规定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内置国产GPU芯片独立显卡</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*独立显卡显存类型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显存类型应为GDDR5/GDDR6/LPDDR4</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*独立显卡显存位宽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显存位宽≥128位</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*独立显卡显存容量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≥2G</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独立显卡接口协议</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支持PCIe协议版本大于等于3.0</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*显示设备规格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*显示屏占比屏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≥89%</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*显示屏分辨率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≥1920x1080</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显示屏像素密度</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≥85像素/英寸</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显示屏可视角度</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水平≥178⁰</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*显示屏尺寸</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≥27英寸</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*显示屏屏幕比例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16:9</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*显示器外观颜色</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黑色</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*显示屏防蓝光</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支持防蓝光模式，蓝光加权辐射亮度比应≤0.0012W/(·cd·sr)（瓦每坎特拉每球面度）</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*显示屏低频闪</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显示屏应支持低频闪≤-35dB</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*显示屏防炫目</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显示屏镜面反射率≤8%</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*外设</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*鼠标数量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*键盘按键数目</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104键</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*键盘连接方式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*键盘键程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2.3mm ~ 4.0mm</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*键盘按键压力</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按键压力应在0.54N±0.14N</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*有线键盘连接线</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≥1.5米</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*键盘颜色</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黑色</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*鼠标连接方式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*有线鼠标连接线</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≥1.5米</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*鼠标DPI分辨率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1000~1600</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*鼠标颜色</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黑色/银色/白色等商务色系</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49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*鼠标其他要求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其他参数应符合GB/T26245的相关规定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50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光驱数量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5</w:t>
            </w:r>
            <w:r>
              <w:rPr>
                <w:rFonts w:hint="eastAsia" w:asciiTheme="minorEastAsia" w:hAnsiTheme="minorEastAsia" w:eastAsiaTheme="minorEastAsia" w:cstheme="minorEastAsia"/>
                <w:color w:val="000000"/>
                <w:sz w:val="22"/>
                <w:szCs w:val="22"/>
                <w:lang w:val="en-US" w:eastAsia="zh-CN"/>
              </w:rPr>
              <w:t xml:space="preserve">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*网络设备规格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*有线网卡数量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bookmarkStart w:id="207" w:name="_GoBack"/>
            <w:r>
              <w:rPr>
                <w:rFonts w:hint="eastAsia" w:asciiTheme="minorEastAsia" w:hAnsiTheme="minorEastAsia" w:eastAsiaTheme="minorEastAsia" w:cstheme="minorEastAsia"/>
                <w:color w:val="000000"/>
                <w:sz w:val="22"/>
                <w:szCs w:val="22"/>
              </w:rPr>
              <w:t xml:space="preserve">5</w:t>
            </w:r>
            <w:r>
              <w:rPr>
                <w:rFonts w:hint="eastAsia" w:asciiTheme="minorEastAsia" w:hAnsiTheme="minorEastAsia" w:eastAsiaTheme="minorEastAsia" w:cstheme="minorEastAsia"/>
                <w:color w:val="000000"/>
                <w:sz w:val="22"/>
                <w:szCs w:val="22"/>
                <w:lang w:val="en-US" w:eastAsia="zh-CN"/>
              </w:rPr>
              <w:t xml:space="preserve">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*外部接口规格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*USB接口数量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highlight w:val="none"/>
              </w:rPr>
            </w:pPr>
            <w:r>
              <w:rPr>
                <w:rFonts w:hint="eastAsia" w:asciiTheme="minorEastAsia" w:hAnsiTheme="minorEastAsia" w:eastAsiaTheme="minorEastAsia" w:cstheme="minorEastAsia"/>
                <w:color w:val="000000"/>
                <w:sz w:val="22"/>
                <w:szCs w:val="22"/>
                <w:highlight w:val="none"/>
              </w:rPr>
              <w:t xml:space="preserve">主板原生≥10个USB接口，其中USB3.0 Gen1≥8个；</w:t>
            </w:r>
            <w:bookmarkEnd w:id="207"/>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5</w:t>
            </w:r>
            <w:r>
              <w:rPr>
                <w:rFonts w:hint="eastAsia" w:asciiTheme="minorEastAsia" w:hAnsiTheme="minorEastAsia" w:eastAsiaTheme="minorEastAsia" w:cstheme="minorEastAsia"/>
                <w:color w:val="000000"/>
                <w:sz w:val="22"/>
                <w:szCs w:val="22"/>
                <w:lang w:val="en-US" w:eastAsia="zh-CN"/>
              </w:rPr>
              <w:t xml:space="preserve">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*视频接口数量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5</w:t>
            </w:r>
            <w:r>
              <w:rPr>
                <w:rFonts w:hint="eastAsia" w:asciiTheme="minorEastAsia" w:hAnsiTheme="minorEastAsia" w:eastAsiaTheme="minorEastAsia" w:cstheme="minorEastAsia"/>
                <w:color w:val="000000"/>
                <w:sz w:val="22"/>
                <w:szCs w:val="22"/>
                <w:lang w:val="en-US" w:eastAsia="zh-CN"/>
              </w:rPr>
              <w:t xml:space="preserve">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*音频接口数量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≥5个音频接口（前二后三）</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5</w:t>
            </w:r>
            <w:r>
              <w:rPr>
                <w:rFonts w:hint="eastAsia" w:asciiTheme="minorEastAsia" w:hAnsiTheme="minorEastAsia" w:eastAsiaTheme="minorEastAsia" w:cstheme="minorEastAsia"/>
                <w:color w:val="000000"/>
                <w:sz w:val="22"/>
                <w:szCs w:val="22"/>
                <w:lang w:val="en-US" w:eastAsia="zh-CN"/>
              </w:rPr>
              <w:t xml:space="preserve">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*整机基础规格</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*整机外观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（a）产品表面不应有凹痕、划伤、裂缝、变形和污染等。表面涂层均匀，不应起泡、龟裂、脱落和磨损，金属零部件无锈蚀及其它机械损伤；</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（b）产品表面说明功能的文字、符号、标志，应清晰、端正、牢固</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5</w:t>
            </w:r>
            <w:r>
              <w:rPr>
                <w:rFonts w:hint="eastAsia" w:asciiTheme="minorEastAsia" w:hAnsiTheme="minorEastAsia" w:eastAsiaTheme="minorEastAsia" w:cstheme="minorEastAsia"/>
                <w:color w:val="000000"/>
                <w:sz w:val="22"/>
                <w:szCs w:val="22"/>
                <w:lang w:val="en-US" w:eastAsia="zh-CN"/>
              </w:rPr>
              <w:t xml:space="preserve">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*状态指示灯</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通过指示灯可查看机器运行状态或存储状态</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5</w:t>
            </w:r>
            <w:r>
              <w:rPr>
                <w:rFonts w:hint="eastAsia" w:asciiTheme="minorEastAsia" w:hAnsiTheme="minorEastAsia" w:eastAsiaTheme="minorEastAsia" w:cstheme="minorEastAsia"/>
                <w:color w:val="000000"/>
                <w:sz w:val="22"/>
                <w:szCs w:val="22"/>
                <w:lang w:val="en-US" w:eastAsia="zh-CN"/>
              </w:rPr>
              <w:t xml:space="preserve">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*整机结构</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（a）机箱应符合 GB/T 4208、GB/T 26246的相关规定；</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（b）产品内部结构应符合通用部件的安装需求；</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（c）所有输入输出接口应符合相关国家或行业标准；</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（d）产品零部件应紧固无松动，可插拔部件应可靠连接，开关、按钮和其它控制部件应灵活可靠，布局应方便使用；</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(e) 所有 I/O 连接器及需插接线缆的部位应预留采购人操作空间，方便插拔解锁与插拔线缆；</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(f) 可插拔板卡插槽部位应预留安装、拆卸或更换板卡空间；</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(g) 拆装可能接触到的金属剪口或金属尖角部位应做防划伤处理，以保证安全；</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(h) 整机内部走线应规整，固线结构和位置要合理可靠并做防割线处理，需便于理线和插拔操作，走线应不影响</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系统各主要部件组装和拆卸；</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(i) 如需通过孔走线，过线孔应做防割线处理；</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(j) 各插头位置和插拔方向应合理，应做到插拔无障碍设计，具备防呆设计，有效避免误操作；</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(k) 各主要部件拆装无障碍，使用常规工具拆装，无特殊拆装工具需求；</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(l) 各主要部件拆装步骤要少，各自拆装需避免相互干扰；</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(m) 对于整机或零部件外表面为高亮面的，应粘贴保护膜，保护膜需粘贴牢固，运输、组装等过程不易脱落，撕下无残留；</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(n) 其它要求应符合 GB/T 9813.1 的相关规定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5</w:t>
            </w:r>
            <w:r>
              <w:rPr>
                <w:rFonts w:hint="eastAsia" w:asciiTheme="minorEastAsia" w:hAnsiTheme="minorEastAsia" w:eastAsiaTheme="minorEastAsia" w:cstheme="minorEastAsia"/>
                <w:color w:val="000000"/>
                <w:sz w:val="22"/>
                <w:szCs w:val="22"/>
                <w:lang w:val="en-US" w:eastAsia="zh-CN"/>
              </w:rPr>
              <w:t xml:space="preserve">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*机箱防护要求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机箱符合GB/T 4208中IP20防护要求</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5</w:t>
            </w:r>
            <w:r>
              <w:rPr>
                <w:rFonts w:hint="eastAsia" w:asciiTheme="minorEastAsia" w:hAnsiTheme="minorEastAsia" w:eastAsiaTheme="minorEastAsia" w:cstheme="minorEastAsia"/>
                <w:color w:val="000000"/>
                <w:sz w:val="22"/>
                <w:szCs w:val="22"/>
                <w:lang w:val="en-US" w:eastAsia="zh-CN"/>
              </w:rPr>
              <w:t xml:space="preserve">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*整机噪音</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产品工作在空闲状态下，产品的噪声声功率级应不超过3.4B</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60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*整机散热</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在环境温度 25℃及处理器满载情况下，产品表面温度应符合如下要求：</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 出风口在机箱后面板情况下，出风口温度不高于 55℃；</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 可触及面温度不高于 45℃；</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 显示器表面温度：显示屏不高于38℃，显示屏上下灯带位置温度（如涉及）不高于 40℃，出风口温度不高于 45℃</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6</w:t>
            </w:r>
            <w:r>
              <w:rPr>
                <w:rFonts w:hint="eastAsia" w:asciiTheme="minorEastAsia" w:hAnsiTheme="minorEastAsia" w:eastAsiaTheme="minorEastAsia" w:cstheme="minorEastAsia"/>
                <w:color w:val="000000"/>
                <w:sz w:val="22"/>
                <w:szCs w:val="22"/>
                <w:lang w:val="en-US" w:eastAsia="zh-CN"/>
              </w:rPr>
              <w:t xml:space="preserve">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*整机能效限定值</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产品能效限定值应达到 GB 28380-2012标准中能效等级 1 级及以上</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6</w:t>
            </w:r>
            <w:r>
              <w:rPr>
                <w:rFonts w:hint="eastAsia" w:asciiTheme="minorEastAsia" w:hAnsiTheme="minorEastAsia" w:eastAsiaTheme="minorEastAsia" w:cstheme="minorEastAsia"/>
                <w:color w:val="000000"/>
                <w:sz w:val="22"/>
                <w:szCs w:val="22"/>
                <w:lang w:val="en-US" w:eastAsia="zh-CN"/>
              </w:rPr>
              <w:t xml:space="preserve">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*机身材质</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金属</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6</w:t>
            </w:r>
            <w:r>
              <w:rPr>
                <w:rFonts w:hint="eastAsia" w:asciiTheme="minorEastAsia" w:hAnsiTheme="minorEastAsia" w:eastAsiaTheme="minorEastAsia" w:cstheme="minorEastAsia"/>
                <w:color w:val="000000"/>
                <w:sz w:val="22"/>
                <w:szCs w:val="22"/>
                <w:lang w:val="en-US" w:eastAsia="zh-CN"/>
              </w:rPr>
              <w:t xml:space="preserve">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*机身颜色</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黑色</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6</w:t>
            </w:r>
            <w:r>
              <w:rPr>
                <w:rFonts w:hint="eastAsia" w:asciiTheme="minorEastAsia" w:hAnsiTheme="minorEastAsia" w:eastAsiaTheme="minorEastAsia" w:cstheme="minorEastAsia"/>
                <w:color w:val="000000"/>
                <w:sz w:val="22"/>
                <w:szCs w:val="22"/>
                <w:lang w:val="en-US" w:eastAsia="zh-CN"/>
              </w:rPr>
              <w:t xml:space="preserve">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产品规格</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*机箱尺寸容量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6</w:t>
            </w:r>
            <w:r>
              <w:rPr>
                <w:rFonts w:hint="eastAsia" w:asciiTheme="minorEastAsia" w:hAnsiTheme="minorEastAsia" w:eastAsiaTheme="minorEastAsia" w:cstheme="minorEastAsia"/>
                <w:color w:val="000000"/>
                <w:sz w:val="22"/>
                <w:szCs w:val="22"/>
                <w:lang w:val="en-US" w:eastAsia="zh-CN"/>
              </w:rPr>
              <w:t xml:space="preserve">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*CPU性能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*CPU物理核数</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6</w:t>
            </w:r>
            <w:r>
              <w:rPr>
                <w:rFonts w:hint="eastAsia" w:asciiTheme="minorEastAsia" w:hAnsiTheme="minorEastAsia" w:eastAsiaTheme="minorEastAsia" w:cstheme="minorEastAsia"/>
                <w:color w:val="000000"/>
                <w:sz w:val="22"/>
                <w:szCs w:val="22"/>
                <w:lang w:val="en-US" w:eastAsia="zh-CN"/>
              </w:rPr>
              <w:t xml:space="preserve">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*CPU主频</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≥3.0GHZ</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6</w:t>
            </w:r>
            <w:r>
              <w:rPr>
                <w:rFonts w:hint="eastAsia" w:asciiTheme="minorEastAsia" w:hAnsiTheme="minorEastAsia" w:eastAsiaTheme="minorEastAsia" w:cstheme="minorEastAsia"/>
                <w:color w:val="000000"/>
                <w:sz w:val="22"/>
                <w:szCs w:val="22"/>
                <w:lang w:val="en-US" w:eastAsia="zh-CN"/>
              </w:rPr>
              <w:t xml:space="preserve">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*CPU末级缓存容量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≥16M</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6</w:t>
            </w:r>
            <w:r>
              <w:rPr>
                <w:rFonts w:hint="eastAsia" w:asciiTheme="minorEastAsia" w:hAnsiTheme="minorEastAsia" w:eastAsiaTheme="minorEastAsia" w:cstheme="minorEastAsia"/>
                <w:color w:val="000000"/>
                <w:sz w:val="22"/>
                <w:szCs w:val="22"/>
                <w:lang w:val="en-US" w:eastAsia="zh-CN"/>
              </w:rPr>
              <w:t xml:space="preserve">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*CPU支持的内存最高速率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≥3200MT/s</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6</w:t>
            </w:r>
            <w:r>
              <w:rPr>
                <w:rFonts w:hint="eastAsia" w:asciiTheme="minorEastAsia" w:hAnsiTheme="minorEastAsia" w:eastAsiaTheme="minorEastAsia" w:cstheme="minorEastAsia"/>
                <w:color w:val="000000"/>
                <w:sz w:val="22"/>
                <w:szCs w:val="22"/>
                <w:lang w:val="en-US" w:eastAsia="zh-CN"/>
              </w:rPr>
              <w:t xml:space="preserve">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*内存性能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*内存读写速率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≥3200MT/s</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70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*显卡性能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*显示分辨率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≥1920*1080</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7</w:t>
            </w:r>
            <w:r>
              <w:rPr>
                <w:rFonts w:hint="eastAsia" w:asciiTheme="minorEastAsia" w:hAnsiTheme="minorEastAsia" w:eastAsiaTheme="minorEastAsia" w:cstheme="minorEastAsia"/>
                <w:color w:val="000000"/>
                <w:sz w:val="22"/>
                <w:szCs w:val="22"/>
                <w:lang w:val="en-US" w:eastAsia="zh-CN"/>
              </w:rPr>
              <w:t xml:space="preserve">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*显卡显示芯片核心频率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≥1250MHz</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7</w:t>
            </w:r>
            <w:r>
              <w:rPr>
                <w:rFonts w:hint="eastAsia" w:asciiTheme="minorEastAsia" w:hAnsiTheme="minorEastAsia" w:eastAsiaTheme="minorEastAsia" w:cstheme="minorEastAsia"/>
                <w:color w:val="000000"/>
                <w:sz w:val="22"/>
                <w:szCs w:val="22"/>
                <w:lang w:val="en-US" w:eastAsia="zh-CN"/>
              </w:rPr>
              <w:t xml:space="preserve">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*显存等效频率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≥3733MT/s</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7</w:t>
            </w:r>
            <w:r>
              <w:rPr>
                <w:rFonts w:hint="eastAsia" w:asciiTheme="minorEastAsia" w:hAnsiTheme="minorEastAsia" w:eastAsiaTheme="minorEastAsia" w:cstheme="minorEastAsia"/>
                <w:color w:val="000000"/>
                <w:sz w:val="22"/>
                <w:szCs w:val="22"/>
                <w:lang w:val="en-US" w:eastAsia="zh-CN"/>
              </w:rPr>
              <w:t xml:space="preserve">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*显卡可支持多屏同时显示数量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显卡应支持2块屏幕同时显示，分辨率应不低于1920x1080</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7</w:t>
            </w:r>
            <w:r>
              <w:rPr>
                <w:rFonts w:hint="eastAsia" w:asciiTheme="minorEastAsia" w:hAnsiTheme="minorEastAsia" w:eastAsiaTheme="minorEastAsia" w:cstheme="minorEastAsia"/>
                <w:color w:val="000000"/>
                <w:sz w:val="22"/>
                <w:szCs w:val="22"/>
                <w:lang w:val="en-US" w:eastAsia="zh-CN"/>
              </w:rPr>
              <w:t xml:space="preserve">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*显示设备性能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*显示屏刷新率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≥100Hz</w:t>
            </w:r>
            <w:r/>
          </w:p>
        </w:tc>
      </w:tr>
      <w:tr>
        <w:trPr>
          <w:jc w:val="center"/>
          <w:trHeight w:val="313"/>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7</w:t>
            </w:r>
            <w:r>
              <w:rPr>
                <w:rFonts w:hint="eastAsia" w:asciiTheme="minorEastAsia" w:hAnsiTheme="minorEastAsia" w:eastAsiaTheme="minorEastAsia" w:cstheme="minorEastAsia"/>
                <w:color w:val="000000"/>
                <w:sz w:val="22"/>
                <w:szCs w:val="22"/>
                <w:lang w:val="en-US" w:eastAsia="zh-CN"/>
              </w:rPr>
              <w:t xml:space="preserve">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*显示屏位深</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≥8位</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7</w:t>
            </w:r>
            <w:r>
              <w:rPr>
                <w:rFonts w:hint="eastAsia" w:asciiTheme="minorEastAsia" w:hAnsiTheme="minorEastAsia" w:eastAsiaTheme="minorEastAsia" w:cstheme="minorEastAsia"/>
                <w:color w:val="000000"/>
                <w:sz w:val="22"/>
                <w:szCs w:val="22"/>
                <w:lang w:val="en-US" w:eastAsia="zh-CN"/>
              </w:rPr>
              <w:t xml:space="preserve">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*显示屏色域</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≥99% sRGB</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7</w:t>
            </w:r>
            <w:r>
              <w:rPr>
                <w:rFonts w:hint="eastAsia" w:asciiTheme="minorEastAsia" w:hAnsiTheme="minorEastAsia" w:eastAsiaTheme="minorEastAsia" w:cstheme="minorEastAsia"/>
                <w:color w:val="000000"/>
                <w:sz w:val="22"/>
                <w:szCs w:val="22"/>
                <w:lang w:val="en-US" w:eastAsia="zh-CN"/>
              </w:rPr>
              <w:t xml:space="preserve">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*显示屏色准</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△E ≤ 4</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7</w:t>
            </w:r>
            <w:r>
              <w:rPr>
                <w:rFonts w:hint="eastAsia" w:asciiTheme="minorEastAsia" w:hAnsiTheme="minorEastAsia" w:eastAsiaTheme="minorEastAsia" w:cstheme="minorEastAsia"/>
                <w:color w:val="000000"/>
                <w:sz w:val="22"/>
                <w:szCs w:val="22"/>
                <w:lang w:val="en-US" w:eastAsia="zh-CN"/>
              </w:rPr>
              <w:t xml:space="preserve">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*显示屏响应时间</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≤5ms</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7</w:t>
            </w:r>
            <w:r>
              <w:rPr>
                <w:rFonts w:hint="eastAsia" w:asciiTheme="minorEastAsia" w:hAnsiTheme="minorEastAsia" w:eastAsiaTheme="minorEastAsia" w:cstheme="minorEastAsia"/>
                <w:color w:val="000000"/>
                <w:sz w:val="22"/>
                <w:szCs w:val="22"/>
                <w:lang w:val="en-US" w:eastAsia="zh-CN"/>
              </w:rPr>
              <w:t xml:space="preserve">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*显示屏亮度</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≥300尼特</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80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*显示屏亮度一致性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≥80%</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8</w:t>
            </w:r>
            <w:r>
              <w:rPr>
                <w:rFonts w:hint="eastAsia" w:asciiTheme="minorEastAsia" w:hAnsiTheme="minorEastAsia" w:eastAsiaTheme="minorEastAsia" w:cstheme="minorEastAsia"/>
                <w:color w:val="000000"/>
                <w:sz w:val="22"/>
                <w:szCs w:val="22"/>
                <w:lang w:val="en-US" w:eastAsia="zh-CN"/>
              </w:rPr>
              <w:t xml:space="preserve">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*显示屏对比度</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 ≥3000:1</w:t>
            </w:r>
            <w:r/>
          </w:p>
        </w:tc>
      </w:tr>
      <w:tr>
        <w:trPr>
          <w:jc w:val="cente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8</w:t>
            </w:r>
            <w:r>
              <w:rPr>
                <w:rFonts w:hint="eastAsia" w:asciiTheme="minorEastAsia" w:hAnsiTheme="minorEastAsia" w:eastAsiaTheme="minorEastAsia" w:cstheme="minorEastAsia"/>
                <w:color w:val="000000"/>
                <w:sz w:val="22"/>
                <w:szCs w:val="22"/>
                <w:lang w:val="en-US" w:eastAsia="zh-CN"/>
              </w:rPr>
              <w:t xml:space="preserve">2</w:t>
            </w:r>
            <w:r/>
          </w:p>
        </w:tc>
        <w:tc>
          <w:tcPr>
            <w:shd w:val="clear" w:color="auto" w:fill="auto"/>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shd w:val="clear" w:color="auto" w:fill="ffff00"/>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*显示屏其他参数--数量</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8</w:t>
            </w:r>
            <w:r>
              <w:rPr>
                <w:rFonts w:hint="eastAsia" w:asciiTheme="minorEastAsia" w:hAnsiTheme="minorEastAsia" w:eastAsiaTheme="minorEastAsia" w:cstheme="minorEastAsia"/>
                <w:color w:val="000000"/>
                <w:sz w:val="22"/>
                <w:szCs w:val="22"/>
                <w:lang w:val="en-US" w:eastAsia="zh-CN"/>
              </w:rPr>
              <w:t xml:space="preserve">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*网络设备性能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*有线网卡速率</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最高速率应不低于 1000Mbps，应支持10Mbps、100Mbps、1000Mbps 速率自适应</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8</w:t>
            </w:r>
            <w:r>
              <w:rPr>
                <w:rFonts w:hint="eastAsia" w:asciiTheme="minorEastAsia" w:hAnsiTheme="minorEastAsia" w:eastAsiaTheme="minorEastAsia" w:cstheme="minorEastAsia"/>
                <w:color w:val="000000"/>
                <w:sz w:val="22"/>
                <w:szCs w:val="22"/>
                <w:lang w:val="en-US" w:eastAsia="zh-CN"/>
              </w:rPr>
              <w:t xml:space="preserve">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*内存扩展接口</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≥4</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8</w:t>
            </w:r>
            <w:r>
              <w:rPr>
                <w:rFonts w:hint="eastAsia" w:asciiTheme="minorEastAsia" w:hAnsiTheme="minorEastAsia" w:eastAsiaTheme="minorEastAsia" w:cstheme="minorEastAsia"/>
                <w:color w:val="000000"/>
                <w:sz w:val="22"/>
                <w:szCs w:val="22"/>
                <w:lang w:val="en-US" w:eastAsia="zh-CN"/>
              </w:rPr>
              <w:t xml:space="preserve">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*主板USB瞬间过流保护</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支持有瞬间过流保护功能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8</w:t>
            </w:r>
            <w:r>
              <w:rPr>
                <w:rFonts w:hint="eastAsia" w:asciiTheme="minorEastAsia" w:hAnsiTheme="minorEastAsia" w:eastAsiaTheme="minorEastAsia" w:cstheme="minorEastAsia"/>
                <w:color w:val="000000"/>
                <w:sz w:val="22"/>
                <w:szCs w:val="22"/>
                <w:lang w:val="en-US" w:eastAsia="zh-CN"/>
              </w:rPr>
              <w:t xml:space="preserve">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*主板防静电保护</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支持防静电保护功能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8</w:t>
            </w:r>
            <w:r>
              <w:rPr>
                <w:rFonts w:hint="eastAsia" w:asciiTheme="minorEastAsia" w:hAnsiTheme="minorEastAsia" w:eastAsiaTheme="minorEastAsia" w:cstheme="minorEastAsia"/>
                <w:color w:val="000000"/>
                <w:sz w:val="22"/>
                <w:szCs w:val="22"/>
                <w:lang w:val="en-US" w:eastAsia="zh-CN"/>
              </w:rPr>
              <w:t xml:space="preserve">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*I/O 接口功能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8</w:t>
            </w:r>
            <w:r>
              <w:rPr>
                <w:rFonts w:hint="eastAsia" w:asciiTheme="minorEastAsia" w:hAnsiTheme="minorEastAsia" w:eastAsiaTheme="minorEastAsia" w:cstheme="minorEastAsia"/>
                <w:color w:val="000000"/>
                <w:sz w:val="22"/>
                <w:szCs w:val="22"/>
                <w:lang w:val="en-US" w:eastAsia="zh-CN"/>
              </w:rPr>
              <w:t xml:space="preserve">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*显卡外接显示接口</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显卡提供至少VGA、DP、HDMI任意2个显示接口且与显示器接口相匹配</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8</w:t>
            </w:r>
            <w:r>
              <w:rPr>
                <w:rFonts w:hint="eastAsia" w:asciiTheme="minorEastAsia" w:hAnsiTheme="minorEastAsia" w:eastAsiaTheme="minorEastAsia" w:cstheme="minorEastAsia"/>
                <w:color w:val="000000"/>
                <w:sz w:val="22"/>
                <w:szCs w:val="22"/>
                <w:lang w:val="en-US" w:eastAsia="zh-CN"/>
              </w:rPr>
              <w:t xml:space="preserve">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*显示设备功能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*显示器接口</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显示器应与显卡外接显示接口匹配</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 xml:space="preserve">90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*显示器支架</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显示器应提供显示器支架，支持俯仰调整</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9</w:t>
            </w:r>
            <w:r>
              <w:rPr>
                <w:rFonts w:hint="eastAsia" w:asciiTheme="minorEastAsia" w:hAnsiTheme="minorEastAsia" w:eastAsiaTheme="minorEastAsia" w:cstheme="minorEastAsia"/>
                <w:color w:val="000000"/>
                <w:sz w:val="22"/>
                <w:szCs w:val="22"/>
                <w:lang w:val="en-US" w:eastAsia="zh-CN"/>
              </w:rPr>
              <w:t xml:space="preserve">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*显示器参数调节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提供OSD选单按钮用于调节色彩、模式等；</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支持色温、亮度、对比度调节</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9</w:t>
            </w:r>
            <w:r>
              <w:rPr>
                <w:rFonts w:hint="eastAsia" w:asciiTheme="minorEastAsia" w:hAnsiTheme="minorEastAsia" w:eastAsiaTheme="minorEastAsia" w:cstheme="minorEastAsia"/>
                <w:color w:val="000000"/>
                <w:sz w:val="22"/>
                <w:szCs w:val="22"/>
                <w:lang w:val="en-US" w:eastAsia="zh-CN"/>
              </w:rPr>
              <w:t xml:space="preserve">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*存储功能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通过 SATA 固态存储/PCIe 固态存储/UFS 固态存储/SATA 硬磁盘等存储部件提供存储功能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9</w:t>
            </w:r>
            <w:r>
              <w:rPr>
                <w:rFonts w:hint="eastAsia" w:asciiTheme="minorEastAsia" w:hAnsiTheme="minorEastAsia" w:eastAsiaTheme="minorEastAsia" w:cstheme="minorEastAsia"/>
                <w:color w:val="000000"/>
                <w:sz w:val="22"/>
                <w:szCs w:val="22"/>
                <w:lang w:val="en-US" w:eastAsia="zh-CN"/>
              </w:rPr>
              <w:t xml:space="preserve">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*网络设备功能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*网络功能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a)支持网络连接、网络开启/关闭功能；b)支持访问网络和数据交换功能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9</w:t>
            </w:r>
            <w:r>
              <w:rPr>
                <w:rFonts w:hint="eastAsia" w:asciiTheme="minorEastAsia" w:hAnsiTheme="minorEastAsia" w:eastAsiaTheme="minorEastAsia" w:cstheme="minorEastAsia"/>
                <w:color w:val="000000"/>
                <w:sz w:val="22"/>
                <w:szCs w:val="22"/>
                <w:lang w:val="en-US" w:eastAsia="zh-CN"/>
              </w:rPr>
              <w:t xml:space="preserve">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*数据传输</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支持数据传输能力，并提供数据流量和异常日志记录功能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9</w:t>
            </w:r>
            <w:r>
              <w:rPr>
                <w:rFonts w:hint="eastAsia" w:asciiTheme="minorEastAsia" w:hAnsiTheme="minorEastAsia" w:eastAsiaTheme="minorEastAsia" w:cstheme="minorEastAsia"/>
                <w:color w:val="000000"/>
                <w:sz w:val="22"/>
                <w:szCs w:val="22"/>
                <w:lang w:val="en-US" w:eastAsia="zh-CN"/>
              </w:rPr>
              <w:t xml:space="preserve">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*有线网卡接口类型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 RJ45 接口</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rPr>
              <w:t xml:space="preserve">9</w:t>
            </w:r>
            <w:r>
              <w:rPr>
                <w:rFonts w:hint="eastAsia" w:asciiTheme="minorEastAsia" w:hAnsiTheme="minorEastAsia" w:eastAsiaTheme="minorEastAsia" w:cstheme="minorEastAsia"/>
                <w:color w:val="000000"/>
                <w:sz w:val="22"/>
                <w:szCs w:val="22"/>
                <w:lang w:val="en-US" w:eastAsia="zh-CN"/>
              </w:rPr>
              <w:t xml:space="preserve">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*网络设备拆装</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网络设备支持物理拆装，包括无线网卡和蓝牙模块等</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*外部接口功能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*视频接口类型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至少支持VGA、DP、HDMI任意2个显示接口且与显示器接口相匹配</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*音频接口类型</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lang w:bidi="ar"/>
              </w:rPr>
              <w:t xml:space="preserve">支持 3.5mm 孔径 3 段式或 4 段式接口</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99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*HDMI、DP、Type-C 显示接口要求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若提供HDMI或DP或Type-C作为显示接口，应支持音频和视频同步输出</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*电源功能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*电源线适配能力</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电源适配器电线组件应符合GB/T 15934的要求</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*操作系统及软件功能</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*中文信息处理要求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 18030的相关规定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*操作系统备份及还原功能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支持操作系统备份及还原功能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*固件备份还原能力</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支持备份及还原固件的功能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*操作系统及驱动升级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支持通过网络、闪存盘等方式对操作系统、驱动进行升级</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*固件升级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支持通过网络、闪存盘等方式对固件进行升级</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*BIOS 支持关闭通讯接口</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支持BIOS关闭以太网及USB接口</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*固件查看信息</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支持查看固件版本、内存信息、主板信息、处理器信息和系统时间信息等功能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*固件设置启动顺序</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支持设置启动顺序功能，并按照设置的启动顺序启动</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*固件设置口令</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支持设置口令、修改口令、验证口令功能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功能要求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*固件设置网络引导</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支持网络引导启动和关闭功能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*存储设备可靠性</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*固态存储寿命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TBW ≥200TB</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*机械硬盘寿命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通电时间≥5万小时</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*显示设备可靠性</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*显示屏屏幕失效点</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9813.2的要求</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*外设可靠性</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*键盘按键寿命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≥1000 万次</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*鼠标按键寿命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≥500万次</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*键盘鼠标线材寿命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键盘鼠标所用线材经±60°弯折不低于3000次，功能、外观完好</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*风扇寿命</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≥5万小时</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*整机可靠性要求</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*电磁兼容性要求的抗扰度</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9254.2的规定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119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*环境条件要求的气候环境适应性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9813.1中规定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*环境条件要求的振动适应性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9813.1中规定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*环境条件要求的冲击适应性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9813.1中规定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*环境条件要求的碰撞适应性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9813.1中规定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*环境条件要求的运输包装件跌落适应性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9813.1中规定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可靠性要求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*MTBF测试</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MTBF ≥30万小时</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*兼容要求</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*常用软件兼容</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支持流式软件、版式软件、浏览器、邮件采购人端、解压软件、多媒体、图形图像处理等常用软件</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*数据库兼容</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 3个及以上厂商的数据库产品</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*中间件兼容</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 3个及以上厂商中间件产品</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*平台软件兼容</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 3个及以上厂商云计算及大数据平台</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129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包装及运输要求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*包装及运输要求</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*标志、包装、运输和贮存</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 GB/T 9813.1 和商品包装政府采购需求标准的相关规定</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*配置检查工具</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供应商提供自检测试工具</w:t>
            </w:r>
            <w:r/>
          </w:p>
        </w:tc>
      </w:tr>
      <w:tr>
        <w:trPr>
          <w:jc w:val="center"/>
          <w:trHeight w:val="1040"/>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*服务响应</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供应商提供电话、电子邮件、远程连接等多种形式服务；</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供应商提供同城4h、异地12h技术响应服务，2个工作日解决问题，对于未能解决的问题和故障应提供可行的升级方案，并提供周转设备或更换设备；</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建立全国技术服务体系和服务团体，符合专业服务体系标准要求，提供原厂中文服务；</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服务周期内提供产品的维修、换件和升级服务</w:t>
            </w:r>
            <w:r/>
          </w:p>
        </w:tc>
      </w:tr>
      <w:tr>
        <w:trPr>
          <w:jc w:val="center"/>
          <w:trHeight w:val="1040"/>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*服务周期</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设备停产后应继续提供质量保障服务（含备品备件），服务终止时间与最后一批设备交付时间间隔不低于8年；</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产品停止服务时间应提前1年告知；</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应明确产品发布日期</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*预装操作系统</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预装符合桌面操作系统政府采购需求，标准的正版国产操作系统；</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*培训服务</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供应商提供培训材料、产品手册、培训视频等培训相关内容</w:t>
            </w:r>
            <w:r/>
          </w:p>
        </w:tc>
      </w:tr>
      <w:tr>
        <w:trPr>
          <w:jc w:val="center"/>
          <w:trHeight w:val="602"/>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*典型问题解决手册</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供应商提供典型问题解决说明文档或视频</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136</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*厂家升级软件与扩容服务</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供应商提供上门升级部件/软件与扩容的增值服务</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137</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*整机质量服务要求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原厂上门免费服务周期（换件和维修）≥3年</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138</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*合格证书要求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供应商提供产品合格证</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139</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*开箱组装/使用指导要求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供应商提供开箱组装/使用指导</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140</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*驱动下载服务要求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供应商提供驱动光盘或下载方式</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141</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服务要求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*兼容适配软件下载服务要求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供应商提供兼容适配软件下载渠道（光盘、网站）</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142</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*供应链合规性</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*产品部件保障</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供应商保障产品主要部件，提供8年的备件服务能力（自交付之日起）</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143</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*供应链质量</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*抗干扰性</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当产品部件出现供应风险时，供应商应通知采购人并提供风险应对方案确保产品的服务保障</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144</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*供应能力证明</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供应商提供供应链稳定承诺书，确保产品的部件在产品服务周期内稳定供货</w:t>
            </w:r>
            <w:r/>
          </w:p>
        </w:tc>
      </w:tr>
      <w:tr>
        <w:trPr>
          <w:jc w:val="center"/>
          <w:trHeight w:val="255"/>
        </w:trPr>
        <w:tc>
          <w:tcPr>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145</w:t>
            </w:r>
            <w:r/>
          </w:p>
        </w:tc>
        <w:tc>
          <w:tcPr>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tcW w:w="930"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*关键部件</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安全要求</w:t>
            </w:r>
            <w:r/>
          </w:p>
        </w:tc>
        <w:tc>
          <w:tcPr>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*关键部件安全要求</w:t>
            </w:r>
            <w:r/>
          </w:p>
        </w:tc>
        <w:tc>
          <w:tcPr>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 和操作系统等关键部件应当符合安全可靠测评要求</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r>
      <w:tr>
        <w:trPr>
          <w:jc w:val="cente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146</w:t>
            </w:r>
            <w:r/>
          </w:p>
        </w:tc>
        <w:tc>
          <w:tcPr>
            <w:shd w:val="clear" w:color="auto" w:fill="ffffff"/>
            <w:tcW w:w="1317" w:type="dxa"/>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shd w:val="clear" w:color="auto" w:fill="ffffff"/>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*整机安全</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性要求</w:t>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*密码算法实现</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CPU 芯片应符合 GM/T 0008 的相关规定，或芯片密码模块应符合 GB/T 37092或 GM/T 0028 的相关规定</w:t>
            </w:r>
            <w:r/>
          </w:p>
        </w:tc>
      </w:tr>
      <w:tr>
        <w:trPr>
          <w:jc w:val="cente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147</w:t>
            </w:r>
            <w:r/>
          </w:p>
        </w:tc>
        <w:tc>
          <w:tcPr>
            <w:shd w:val="clear" w:color="auto" w:fill="ffffff"/>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shd w:val="clear" w:color="auto" w:fill="ffffff"/>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*信息安全基本要求</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（a）产品应符合GB/T 39276的5.2的规定；</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(b) 生产厂商建立漏洞跟踪表，保证产品版本涉及到的漏洞(如驱动程序等)可查看；</w:t>
            </w:r>
            <w:r/>
          </w:p>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(c) 产品不包含已知的恶意代码或漏洞，不存在未声明的指令、功能、接口</w:t>
            </w:r>
            <w:r/>
          </w:p>
        </w:tc>
      </w:tr>
      <w:tr>
        <w:trPr>
          <w:jc w:val="cente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148</w:t>
            </w:r>
            <w:r/>
          </w:p>
        </w:tc>
        <w:tc>
          <w:tcPr>
            <w:shd w:val="clear" w:color="auto" w:fill="ffffff"/>
            <w:tcW w:w="1317" w:type="dxa"/>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shd w:val="clear" w:color="auto" w:fill="ffffff"/>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*固件安全启动</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支持固件安全启动功能，固件启动过程中只有通过启动校验才能正常启动</w:t>
            </w:r>
            <w:r/>
          </w:p>
        </w:tc>
      </w:tr>
      <w:tr>
        <w:trPr>
          <w:jc w:val="cente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149</w:t>
            </w:r>
            <w:r/>
          </w:p>
        </w:tc>
        <w:tc>
          <w:tcPr>
            <w:shd w:val="clear" w:color="auto" w:fill="ffffff"/>
            <w:tcW w:w="1317" w:type="dxa"/>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供应保障要求</w:t>
            </w:r>
            <w:r/>
          </w:p>
        </w:tc>
        <w:tc>
          <w:tcPr>
            <w:shd w:val="clear" w:color="auto" w:fill="ffffff"/>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*限用物质的限量要求</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符合GB/T 26572中规定</w:t>
            </w:r>
            <w:r/>
          </w:p>
        </w:tc>
      </w:tr>
      <w:tr>
        <w:trPr>
          <w:jc w:val="cente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150</w:t>
            </w:r>
            <w:r/>
          </w:p>
        </w:tc>
        <w:tc>
          <w:tcPr>
            <w:shd w:val="clear" w:color="auto" w:fill="ffffff"/>
            <w:tcW w:w="1317"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其他要求</w:t>
            </w:r>
            <w:r/>
          </w:p>
        </w:tc>
        <w:tc>
          <w:tcPr>
            <w:shd w:val="clear" w:color="auto" w:fill="ffffff"/>
            <w:tcW w:w="930" w:type="dxa"/>
            <w:vAlign w:val="center"/>
            <w:vMerge w:val="restart"/>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其他要求</w:t>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是否具有节能认证证书</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是(本项目采购的台式计算机为财政部、发展改革委发布的《节能产品政府采购品目清单》,投标人只能选择具有节能产品认证证书的产品进行投标;投标时须提供所投台式计算机由国家确定的认证机构出具的、处于有效期之内的节能产品认证证书扫描件。)</w:t>
            </w:r>
            <w:r/>
          </w:p>
        </w:tc>
      </w:tr>
      <w:tr>
        <w:trPr>
          <w:jc w:val="center"/>
          <w:trHeight w:val="255"/>
        </w:trPr>
        <w:tc>
          <w:tcPr>
            <w:shd w:val="clear" w:color="auto" w:fill="auto"/>
            <w:tcW w:w="546"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151</w:t>
            </w:r>
            <w:r/>
          </w:p>
        </w:tc>
        <w:tc>
          <w:tcPr>
            <w:shd w:val="clear" w:color="auto" w:fill="ffffff"/>
            <w:tcW w:w="1317" w:type="dxa"/>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其他要求</w:t>
            </w:r>
            <w:r/>
          </w:p>
        </w:tc>
        <w:tc>
          <w:tcPr>
            <w:shd w:val="clear" w:color="auto" w:fill="ffffff"/>
            <w:tcW w:w="930" w:type="dxa"/>
            <w:vAlign w:val="center"/>
            <w:vMerge w:val="continue"/>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r>
            <w:r/>
          </w:p>
        </w:tc>
        <w:tc>
          <w:tcPr>
            <w:shd w:val="clear" w:color="auto" w:fill="ffffff"/>
            <w:tcW w:w="140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是否为进口产品</w:t>
            </w:r>
            <w:r/>
          </w:p>
        </w:tc>
        <w:tc>
          <w:tcPr>
            <w:shd w:val="clear" w:color="auto" w:fill="ffffff"/>
            <w:tcW w:w="4788" w:type="dxa"/>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否</w:t>
            </w:r>
            <w:r/>
          </w:p>
        </w:tc>
      </w:tr>
    </w:tbl>
    <w:p>
      <w:pPr>
        <w:jc w:val="center"/>
        <w:rPr>
          <w:rFonts w:ascii="宋体" w:hAnsi="宋体"/>
          <w:color w:val="000000"/>
          <w:szCs w:val="21"/>
        </w:rPr>
      </w:pPr>
      <w:r>
        <w:rPr>
          <w:rFonts w:ascii="宋体" w:hAnsi="宋体"/>
          <w:color w:val="000000"/>
          <w:szCs w:val="21"/>
        </w:rPr>
      </w:r>
      <w:r/>
    </w:p>
    <w:p>
      <w:pPr>
        <w:jc w:val="center"/>
        <w:rPr>
          <w:rFonts w:ascii="宋体" w:hAnsi="宋体"/>
          <w:color w:val="000000"/>
          <w:szCs w:val="21"/>
        </w:rPr>
      </w:pPr>
      <w:r>
        <w:rPr>
          <w:rFonts w:ascii="宋体" w:hAnsi="宋体"/>
          <w:color w:val="000000"/>
          <w:szCs w:val="21"/>
        </w:rPr>
      </w:r>
      <w:r/>
    </w:p>
    <w:tbl>
      <w:tblPr>
        <w:tblStyle w:val="677"/>
        <w:tblW w:w="51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522"/>
        <w:gridCol w:w="1181"/>
        <w:gridCol w:w="7865"/>
      </w:tblGrid>
      <w:tr>
        <w:trPr>
          <w:jc w:val="center"/>
        </w:trPr>
        <w:tc>
          <w:tcPr>
            <w:tcW w:w="273"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c>
          <w:tcPr>
            <w:tcW w:w="617"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机房管理软件</w:t>
            </w:r>
            <w:r/>
          </w:p>
        </w:tc>
        <w:tc>
          <w:tcPr>
            <w:tcW w:w="4109" w:type="pct"/>
            <w:vAlign w:val="center"/>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支持系统同传、支持批量部署、支持系统保护</w:t>
            </w:r>
            <w:r/>
          </w:p>
        </w:tc>
      </w:tr>
      <w:tr>
        <w:trPr>
          <w:jc w:val="center"/>
        </w:trPr>
        <w:tc>
          <w:tcPr>
            <w:tcW w:w="273"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2</w:t>
            </w:r>
            <w:r/>
          </w:p>
        </w:tc>
        <w:tc>
          <w:tcPr>
            <w:tcW w:w="617"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国产操作系统</w:t>
            </w:r>
            <w:r/>
          </w:p>
        </w:tc>
        <w:tc>
          <w:tcPr>
            <w:tcW w:w="4109"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预装符合桌面操作系统政府采购需求 标准的正版国产操作系统，操作系统同源兼容 ARM、LoongArch、  MIPS、SW64、x86 等平台架构的 CPU</w:t>
            </w:r>
            <w:r/>
          </w:p>
        </w:tc>
      </w:tr>
      <w:tr>
        <w:trPr>
          <w:jc w:val="center"/>
        </w:trPr>
        <w:tc>
          <w:tcPr>
            <w:tcW w:w="273"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1</w:t>
            </w:r>
            <w:r/>
          </w:p>
        </w:tc>
        <w:tc>
          <w:tcPr>
            <w:tcW w:w="617"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杀毒软件</w:t>
            </w:r>
            <w:r/>
          </w:p>
        </w:tc>
        <w:tc>
          <w:tcPr>
            <w:tcW w:w="4109"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具有查杀木马、清理恶意插件、保护隐私、免费杀毒、修复系统漏洞等功能</w:t>
            </w:r>
            <w:r/>
          </w:p>
        </w:tc>
      </w:tr>
      <w:tr>
        <w:trPr>
          <w:jc w:val="center"/>
        </w:trPr>
        <w:tc>
          <w:tcPr>
            <w:tcW w:w="273"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3</w:t>
            </w:r>
            <w:r/>
          </w:p>
        </w:tc>
        <w:tc>
          <w:tcPr>
            <w:tcW w:w="617"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办公软件</w:t>
            </w:r>
            <w:r/>
          </w:p>
        </w:tc>
        <w:tc>
          <w:tcPr>
            <w:tcW w:w="4109" w:type="pct"/>
            <w:vAlign w:val="top"/>
            <w:textDirection w:val="lrTb"/>
            <w:noWrap w:val="false"/>
          </w:tcPr>
          <w:p>
            <w:pPr>
              <w:jc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sz w:val="22"/>
                <w:szCs w:val="22"/>
              </w:rPr>
              <w:t xml:space="preserve">国产多功能办公软件，可适配国产桌面操作系统。提供word、excel、ppt等文档的阅读和编辑功能，pdf 文件的阅读功能等。</w:t>
            </w:r>
            <w:r/>
          </w:p>
        </w:tc>
      </w:tr>
    </w:tbl>
    <w:p>
      <w:pPr>
        <w:jc w:val="both"/>
        <w:spacing w:line="360" w:lineRule="auto"/>
        <w:widowControl w:val="off"/>
        <w:rPr>
          <w:rFonts w:hint="eastAsia" w:ascii="楷体" w:hAnsi="楷体" w:eastAsia="楷体" w:cs="Times New Roman"/>
          <w:b/>
          <w:bCs/>
          <w:sz w:val="28"/>
          <w:szCs w:val="28"/>
          <w:lang w:val="en-US" w:eastAsia="zh-CN" w:bidi="ar-SA"/>
        </w:rPr>
      </w:pPr>
      <w:r>
        <w:rPr>
          <w:rFonts w:hint="eastAsia" w:ascii="宋体" w:hAnsi="宋体" w:eastAsia="宋体" w:cs="Times New Roman"/>
          <w:bCs/>
          <w:color w:val="000000"/>
          <w:sz w:val="28"/>
          <w:szCs w:val="28"/>
          <w:lang w:val="en-US" w:eastAsia="zh-CN" w:bidi="ar-SA"/>
        </w:rPr>
        <w:t xml:space="preserve">注：投标供应商中标后提供投标功能检测报告及2台样机至使用方测试，保证产品质量；</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spacing w:line="360" w:lineRule="auto"/>
        <w:rPr>
          <w:rFonts w:ascii="宋体" w:hAnsi="宋体"/>
          <w:b/>
          <w:color w:val="auto"/>
          <w:sz w:val="30"/>
          <w:szCs w:val="30"/>
          <w:highlight w:val="none"/>
          <w:u w:val="none"/>
        </w:rPr>
      </w:pPr>
      <w:r>
        <w:rPr>
          <w:rFonts w:ascii="宋体" w:hAnsi="宋体"/>
          <w:bCs/>
          <w:sz w:val="24"/>
          <w:szCs w:val="24"/>
        </w:rPr>
        <w:br w:type="page" w:clear="all"/>
      </w:r>
      <w:r>
        <w:rPr>
          <w:rFonts w:hint="eastAsia" w:ascii="宋体" w:hAnsi="宋体"/>
          <w:b/>
          <w:color w:val="000000"/>
          <w:sz w:val="30"/>
          <w:szCs w:val="30"/>
          <w:u w:val="none"/>
        </w:rPr>
        <w:t xml:space="preserve">第二</w:t>
      </w:r>
      <w:r>
        <w:rPr>
          <w:rFonts w:hint="eastAsia" w:ascii="宋体" w:hAnsi="宋体"/>
          <w:b/>
          <w:color w:val="auto"/>
          <w:sz w:val="30"/>
          <w:szCs w:val="30"/>
          <w:highlight w:val="none"/>
          <w:u w:val="none"/>
        </w:rPr>
        <w:t xml:space="preserve">部分  有关说明</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完工期：合同签订生效且收到采购人通知后30个日历天内到货并安装完毕。具体时间以合同为准。</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项目整体质保期：自项目验收合格之日起3年原厂上门免费保修。</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合同签订生效后，预付合同总价的30%；货物安装调试结束，并经验收合格后支付至不超过合同执行价的70%；审计结束后付至合同审定价的97%；货物保修期满经项目使用单位确认保修质量和保修效果后，结清全部货物余款。</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履约保证金需在中标通知书签发后15天内提供给采购人，15天内未提供的，中标供应商需向采购人支付5000元/天的违约金，在项目结算时扣除。</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本项目合同履行地点：无锡市新吴区鸿山街道，至德大道与至礼路交叉口东南侧 ，具体地点以合同书约定为准。中标方必须按采购人要求将本项目中货物送到指定地点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color w:val="auto"/>
          <w:sz w:val="24"/>
          <w:highlight w:val="none"/>
        </w:rPr>
        <w:t xml:space="preserve">中</w:t>
      </w:r>
      <w:r>
        <w:rPr>
          <w:rFonts w:hint="eastAsia" w:ascii="宋体" w:hAnsi="宋体"/>
          <w:bCs/>
          <w:sz w:val="24"/>
        </w:rPr>
        <w:t xml:space="preserve">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u w:val="none"/>
        </w:rPr>
      </w:pPr>
      <w:r>
        <w:rPr>
          <w:rFonts w:hint="eastAsia" w:ascii="宋体" w:hAnsi="宋体"/>
          <w:b/>
          <w:sz w:val="30"/>
          <w:szCs w:val="30"/>
          <w:u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u w:val="none"/>
        </w:rPr>
      </w:pPr>
      <w:r>
        <w:rPr>
          <w:rFonts w:hint="eastAsia" w:ascii="宋体" w:hAnsi="宋体"/>
          <w:b/>
          <w:sz w:val="30"/>
          <w:szCs w:val="30"/>
          <w:u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u w:val="none"/>
        </w:rPr>
      </w:pPr>
      <w:r>
        <w:rPr>
          <w:rFonts w:hint="eastAsia" w:ascii="宋体" w:hAnsi="宋体"/>
          <w:b/>
          <w:sz w:val="30"/>
          <w:szCs w:val="30"/>
          <w:u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eastAsia="宋体"/>
          <w:b/>
          <w:sz w:val="30"/>
          <w:szCs w:val="30"/>
          <w:u w:val="none"/>
          <w:lang w:val="en-US" w:eastAsia="zh-CN"/>
        </w:rPr>
      </w:pPr>
      <w:r>
        <w:rPr>
          <w:rFonts w:hint="eastAsia" w:ascii="宋体" w:hAnsi="宋体"/>
          <w:b/>
          <w:sz w:val="30"/>
          <w:szCs w:val="30"/>
          <w:u w:val="none"/>
          <w:lang w:val="en-US" w:eastAsia="zh-CN"/>
        </w:rPr>
        <w:t xml:space="preserve"> </w:t>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u w:val="none"/>
        </w:rPr>
      </w:pPr>
      <w:r>
        <w:rPr>
          <w:rFonts w:hint="eastAsia" w:ascii="宋体" w:hAnsi="宋体"/>
          <w:b/>
          <w:sz w:val="30"/>
          <w:szCs w:val="30"/>
          <w:u w:val="none"/>
        </w:rPr>
      </w:r>
      <w:r/>
    </w:p>
    <w:p>
      <w:pPr>
        <w:ind w:firstLine="301"/>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
          <w:sz w:val="30"/>
          <w:szCs w:val="30"/>
          <w:u w:val="none"/>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195"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75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55"/>
        <w:spacing w:before="0" w:after="0" w:line="500" w:lineRule="exact"/>
        <w:rPr>
          <w:rFonts w:hint="eastAsia" w:cs="Arial"/>
        </w:rPr>
      </w:pPr>
      <w:r>
        <w:rPr>
          <w:rFonts w:hint="eastAsia" w:cs="Arial"/>
        </w:rPr>
        <w:t xml:space="preserve">投标人通过初审的，方可进入比较与评价程序。</w:t>
      </w:r>
      <w:r/>
    </w:p>
    <w:p>
      <w:pPr>
        <w:pStyle w:val="755"/>
        <w:spacing w:before="0" w:after="0" w:line="500" w:lineRule="exact"/>
        <w:rPr>
          <w:rFonts w:hint="eastAsia" w:cs="Arial"/>
        </w:rPr>
      </w:pPr>
      <w:r>
        <w:rPr>
          <w:rFonts w:hint="eastAsia" w:cs="Arial"/>
        </w:rPr>
        <w:t xml:space="preserve">比较与评价采用综合评分法。</w:t>
      </w:r>
      <w:r/>
    </w:p>
    <w:p>
      <w:pPr>
        <w:pStyle w:val="755"/>
        <w:spacing w:before="0" w:after="0" w:line="500" w:lineRule="exact"/>
        <w:rPr>
          <w:rStyle w:val="717"/>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5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r>
      <w:r/>
    </w:p>
    <w:p>
      <w:pPr>
        <w:pStyle w:val="755"/>
        <w:spacing w:before="0" w:after="0" w:line="500" w:lineRule="exact"/>
        <w:rPr>
          <w:rFonts w:hint="eastAsia" w:cs="Arial"/>
          <w:b/>
          <w:sz w:val="30"/>
          <w:szCs w:val="30"/>
        </w:rPr>
      </w:pPr>
      <w:r>
        <w:rPr>
          <w:rFonts w:hint="eastAsia" w:cs="Arial"/>
          <w:b/>
          <w:sz w:val="30"/>
          <w:szCs w:val="30"/>
        </w:rPr>
        <w:t xml:space="preserve">第二部分  评标标准</w:t>
      </w:r>
      <w:r/>
    </w:p>
    <w:p>
      <w:pPr>
        <w:pStyle w:val="75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755"/>
        <w:ind w:firstLine="360"/>
        <w:spacing w:before="0" w:after="0" w:line="500" w:lineRule="exact"/>
        <w:rPr>
          <w:rFonts w:ascii="宋体" w:hAnsi="宋体"/>
          <w:shd w:val="clear" w:color="ffffff" w:fill="d9d9d9"/>
        </w:rPr>
      </w:pPr>
      <w:r>
        <w:rPr>
          <w:rFonts w:ascii="宋体" w:hAnsi="宋体"/>
          <w:shd w:val="clear" w:color="ffffff" w:fill="d9d9d9"/>
        </w:rPr>
      </w:r>
      <w:r/>
    </w:p>
    <w:p>
      <w:pPr>
        <w:pStyle w:val="755"/>
        <w:ind w:left="0" w:firstLine="0"/>
        <w:spacing w:before="0" w:after="0" w:line="500" w:lineRule="exact"/>
        <w:rPr>
          <w:rFonts w:hint="eastAsia" w:ascii="宋体" w:hAnsi="宋体"/>
          <w:b/>
          <w:sz w:val="28"/>
          <w:szCs w:val="28"/>
        </w:rPr>
      </w:pPr>
      <w:r>
        <w:rPr>
          <w:rFonts w:hint="eastAsia" w:ascii="宋体" w:hAnsi="宋体"/>
          <w:b/>
          <w:sz w:val="28"/>
          <w:szCs w:val="28"/>
        </w:rPr>
        <w:t xml:space="preserve">二、评分标准</w:t>
      </w:r>
      <w:r/>
    </w:p>
    <w:p>
      <w:pPr>
        <w:pStyle w:val="755"/>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55"/>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（一）商务部分（</w:t>
      </w:r>
      <w:r>
        <w:rPr>
          <w:rFonts w:hint="eastAsia" w:ascii="宋体" w:hAnsi="宋体"/>
          <w:b/>
          <w:color w:val="auto"/>
          <w:sz w:val="28"/>
          <w:szCs w:val="28"/>
          <w:lang w:val="en-US" w:eastAsia="zh-CN"/>
        </w:rPr>
        <w:t xml:space="preserve">77</w:t>
      </w:r>
      <w:r>
        <w:rPr>
          <w:rFonts w:hint="eastAsia" w:ascii="宋体" w:hAnsi="宋体"/>
          <w:b/>
          <w:color w:val="auto"/>
          <w:sz w:val="28"/>
          <w:szCs w:val="28"/>
        </w:rPr>
        <w:t xml:space="preserve">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4"/>
          <w:numId w:val="7"/>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1</w:t>
      </w:r>
      <w:r>
        <w:rPr>
          <w:rFonts w:hint="eastAsia" w:ascii="宋体" w:hAnsi="宋体"/>
          <w:b/>
          <w:bCs/>
          <w:color w:val="000000"/>
          <w:sz w:val="24"/>
          <w:szCs w:val="24"/>
        </w:rPr>
        <w:t xml:space="preserve">分）：</w:t>
      </w:r>
      <w:r/>
    </w:p>
    <w:p>
      <w:pPr>
        <w:numPr>
          <w:ilvl w:val="0"/>
          <w:numId w:val="0"/>
        </w:numPr>
        <w:ind w:left="420"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color w:val="000000"/>
          <w:sz w:val="24"/>
        </w:rPr>
      </w:pPr>
      <w:r>
        <w:rPr>
          <w:rFonts w:hint="eastAsia" w:ascii="宋体" w:hAnsi="宋体"/>
          <w:color w:val="000000"/>
          <w:sz w:val="24"/>
        </w:rPr>
        <w:t xml:space="preserve">投标人具有近三年（自2023年1月1日以来（以合同签订时间为准）具有本项类似业绩）的类似项目业绩，每提供一个得1分，最高得1分。须提供合同原件证明材料扫描件。 </w:t>
      </w:r>
      <w:r/>
    </w:p>
    <w:p>
      <w:pPr>
        <w:numPr>
          <w:ilvl w:val="4"/>
          <w:numId w:val="7"/>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产品与技术（2</w:t>
      </w:r>
      <w:r>
        <w:rPr>
          <w:rFonts w:hint="eastAsia" w:ascii="宋体" w:hAnsi="宋体"/>
          <w:b/>
          <w:bCs/>
          <w:sz w:val="24"/>
          <w:szCs w:val="24"/>
          <w:lang w:val="en-US" w:eastAsia="zh-CN"/>
        </w:rPr>
        <w:t xml:space="preserve">4</w:t>
      </w:r>
      <w:r>
        <w:rPr>
          <w:rFonts w:hint="eastAsia" w:ascii="宋体" w:hAnsi="宋体"/>
          <w:b/>
          <w:bCs/>
          <w:sz w:val="24"/>
          <w:szCs w:val="24"/>
        </w:rPr>
        <w:t xml:space="preserve">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1、支持国产和非国产终端电脑的固态硬盘及机械硬盘的双硬盘保护同传，可新增、删除指定分区，设置不同分区类型（涵盖立即还原型启动分区、备份还原型启动分区、专属分区、共享分区、Linux 交换分区及其他分区），自定义分区名称、分区容量、文件系统及还原方式；投标时提供此功能相关证明材料并加盖投标人公章得2分，未提供不得分。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2、可显示差异拷贝过程中当前发送端网卡的列表，对于多网卡终端可自由选择进行差异拷贝的网卡；投标时提供此功能相关证明材料并加盖投标人公章得2分，未提供不得分。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3、若终端因故障在底层差异拷贝时无法与发送端连接，可右击对应终端连接号并将其设定为占位机，该终端连线号图标变更为占位状态，已连线终端将自动查找并连接未连线的连线号，也可自定义指定终端的连线号；投标时提供此功能相关证明材料并加盖投标人公章得2分，未提供不得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4、差异拷贝过程中自动识别当前传输中的最慢机并进行标记，可暂停该终端传输；投标时提供此功能相关证明材料并加盖投标人公章得2分，未提供不得分。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5、可批量对局域网内客户端的操作系统自动分配IP地址并修改不同网段的IP地址设置、Windows用户的登录名和计算机名，可设置IPv4及IPv6的地址，支持设置网络连线群组，支持终端多网卡IP设置，差异拷贝时可绑定网卡；投标时提供此功能相关证明材料并加盖投标人公章得2分，未提供不得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6、支持开启、关闭开机自动连线支持显示、不显示开机画面背景图片和开机画面热键提醒；投标时提供此功能相关证明材料并加盖投标人公章得2分，未提供不得分。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7、专属分区的数据在对应分区系统可见，共享分区的数据由被共享的系统共用，支持对同类型或未分配分区进行复制，复制后目标分区与源分区的数据一致；投标时提供此功能相关证明材料并加盖投标人公章得2分，未提供不得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8、支持能够监控间谍文件、拦截局域网病毒，勒索病毒防护，宏病毒免疫；投标时提供此功能相关证明材料并加盖投标人公章得2分，未提供不得分。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9、支持连接公有云进行样本的鉴定，并且公有云特征库不少于310亿；投标时提供此功能相关证明材料并加盖投标人公章得2分，未提供不得分。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10、可设置终端隔离区大小，当隔离区已使用空间达到上限90%时，可自动清理隔离区中超过指定时长的文件。支持周期性的上报隔离区、阻止区、信任区的数据，至少支持设置1/7/15天等周期；投标时提供此功能相关证明材料并加盖投标人公章得2分，未提供不得分。</w:t>
      </w:r>
      <w:r/>
    </w:p>
    <w:p>
      <w:pPr>
        <w:pStyle w:val="687"/>
        <w:ind w:left="0" w:firstLine="480"/>
        <w:keepLines w:val="0"/>
        <w:keepNext w:val="0"/>
        <w:pageBreakBefore w:val="0"/>
        <w:spacing w:line="360" w:lineRule="auto"/>
        <w:widowControl w:val="off"/>
        <w:rPr>
          <w:rFonts w:hint="eastAsia" w:ascii="宋体" w:hAnsi="宋体"/>
          <w:b w:val="0"/>
          <w:bCs w:val="0"/>
          <w:sz w:val="24"/>
          <w:szCs w:val="24"/>
        </w:rPr>
      </w:pPr>
      <w:r>
        <w:rPr>
          <w:rFonts w:hint="eastAsia" w:ascii="宋体" w:hAnsi="宋体"/>
          <w:b w:val="0"/>
          <w:bCs w:val="0"/>
          <w:sz w:val="24"/>
          <w:szCs w:val="24"/>
        </w:rPr>
        <w:t xml:space="preserve">11、可将样机数据复制至同型号硬盘中，可查看复制总容量、已复制容量、复制进度百分比及复制进度条；投标时提供此功能相关证明材料并加盖投标人公章得2分，未提供不得分。</w:t>
      </w:r>
      <w:r/>
    </w:p>
    <w:p>
      <w:pPr>
        <w:pStyle w:val="687"/>
        <w:ind w:left="0" w:firstLine="480"/>
        <w:keepLines w:val="0"/>
        <w:keepNext w:val="0"/>
        <w:pageBreakBefore w:val="0"/>
        <w:spacing w:line="360" w:lineRule="auto"/>
        <w:widowControl w:val="off"/>
      </w:pPr>
      <w:r>
        <w:rPr>
          <w:rFonts w:hint="eastAsia" w:ascii="宋体" w:hAnsi="宋体"/>
          <w:b w:val="0"/>
          <w:bCs w:val="0"/>
          <w:sz w:val="24"/>
          <w:szCs w:val="24"/>
        </w:rPr>
        <w:t xml:space="preserve">12、支持机房批量部署，主动分析机器间的数据差异，只传输差异的数据，速度高达7GB/分钟，可支持超过1000台终端的批量部署；投标时提供此功能相关证明材料并加盖投标人公章得2分，未提供不得分。</w:t>
      </w:r>
      <w:r/>
    </w:p>
    <w:p>
      <w:pPr>
        <w:pStyle w:val="755"/>
        <w:ind w:firstLine="361"/>
        <w:keepLines w:val="0"/>
        <w:keepNext w:val="0"/>
        <w:pageBreakBefore w:val="0"/>
        <w:spacing w:before="0" w:after="0" w:line="360" w:lineRule="auto"/>
        <w:widowControl w:val="off"/>
        <w:rPr>
          <w:rFonts w:hint="eastAsia" w:ascii="宋体" w:hAnsi="宋体"/>
          <w:b/>
          <w:color w:val="0000ff"/>
          <w:sz w:val="28"/>
          <w:szCs w:val="28"/>
        </w:rPr>
      </w:pPr>
      <w:r>
        <w:rPr>
          <w:rFonts w:hint="eastAsia" w:ascii="宋体" w:hAnsi="宋体" w:eastAsia="宋体" w:cs="Times New Roman"/>
          <w:b/>
          <w:bCs/>
          <w:sz w:val="24"/>
          <w:szCs w:val="24"/>
          <w:lang w:val="en-US" w:eastAsia="zh-CN"/>
        </w:rPr>
        <w:t xml:space="preserve">4.节能、环保产品（2分）：</w:t>
      </w:r>
      <w:r>
        <w:rPr>
          <w:rFonts w:hint="eastAsia" w:ascii="宋体" w:hAnsi="宋体" w:eastAsia="宋体" w:cs="Times New Roman"/>
          <w:b w:val="0"/>
          <w:bCs w:val="0"/>
          <w:sz w:val="24"/>
          <w:szCs w:val="24"/>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w:t>
      </w:r>
      <w:r>
        <w:rPr>
          <w:rFonts w:hint="eastAsia" w:ascii="宋体" w:hAnsi="宋体" w:cs="Times New Roman"/>
          <w:b w:val="0"/>
          <w:bCs w:val="0"/>
          <w:sz w:val="24"/>
          <w:szCs w:val="24"/>
          <w:lang w:val="en-US" w:eastAsia="zh-CN"/>
        </w:rPr>
        <w:t xml:space="preserve">扫描</w:t>
      </w:r>
      <w:r>
        <w:rPr>
          <w:rFonts w:hint="eastAsia" w:ascii="宋体" w:hAnsi="宋体" w:eastAsia="宋体" w:cs="Times New Roman"/>
          <w:b w:val="0"/>
          <w:bCs w:val="0"/>
          <w:sz w:val="24"/>
          <w:szCs w:val="24"/>
          <w:lang w:val="en-US" w:eastAsia="zh-CN"/>
        </w:rPr>
        <w:t xml:space="preserve">件、环境标志产品认证证书</w:t>
      </w:r>
      <w:r>
        <w:rPr>
          <w:rFonts w:hint="eastAsia" w:ascii="宋体" w:hAnsi="宋体" w:cs="Times New Roman"/>
          <w:b w:val="0"/>
          <w:bCs w:val="0"/>
          <w:sz w:val="24"/>
          <w:szCs w:val="24"/>
          <w:lang w:val="en-US" w:eastAsia="zh-CN"/>
        </w:rPr>
        <w:t xml:space="preserve">扫描</w:t>
      </w:r>
      <w:r>
        <w:rPr>
          <w:rFonts w:hint="eastAsia" w:ascii="宋体" w:hAnsi="宋体" w:eastAsia="宋体" w:cs="Times New Roman"/>
          <w:b w:val="0"/>
          <w:bCs w:val="0"/>
          <w:sz w:val="24"/>
          <w:szCs w:val="24"/>
          <w:lang w:val="en-US" w:eastAsia="zh-CN"/>
        </w:rPr>
        <w:t xml:space="preserve">件，否则不得分）。</w:t>
      </w:r>
      <w:r>
        <w:rPr>
          <w:rFonts w:hint="eastAsia" w:asciiTheme="minorEastAsia" w:hAnsiTheme="minorEastAsia" w:eastAsiaTheme="minorEastAsia" w:cstheme="minorEastAsia"/>
          <w:b w:val="0"/>
          <w:bCs w:val="0"/>
          <w:color w:val="000000"/>
          <w:sz w:val="24"/>
          <w:szCs w:val="24"/>
        </w:rPr>
        <w:br w:type="page" w:clear="all"/>
      </w:r>
      <w:r>
        <w:rPr>
          <w:rFonts w:hint="eastAsia" w:ascii="宋体" w:hAnsi="宋体"/>
          <w:b/>
          <w:color w:val="auto"/>
          <w:sz w:val="28"/>
          <w:szCs w:val="28"/>
        </w:rPr>
        <w:t xml:space="preserve">（二）技术部分（</w:t>
      </w:r>
      <w:r>
        <w:rPr>
          <w:rFonts w:hint="eastAsia" w:ascii="宋体" w:hAnsi="宋体"/>
          <w:b/>
          <w:color w:val="auto"/>
          <w:sz w:val="28"/>
          <w:szCs w:val="28"/>
          <w:lang w:val="en-US" w:eastAsia="zh-CN"/>
        </w:rPr>
        <w:t xml:space="preserve">2</w:t>
      </w:r>
      <w:r>
        <w:rPr>
          <w:rFonts w:hint="eastAsia" w:ascii="宋体" w:hAnsi="宋体"/>
          <w:b/>
          <w:color w:val="auto"/>
          <w:sz w:val="28"/>
          <w:szCs w:val="28"/>
          <w:lang w:val="en-US"/>
        </w:rPr>
        <w:t xml:space="preserve">3</w:t>
      </w:r>
      <w:r>
        <w:rPr>
          <w:rFonts w:hint="eastAsia" w:ascii="宋体" w:hAnsi="宋体"/>
          <w:b/>
          <w:color w:val="auto"/>
          <w:sz w:val="28"/>
          <w:szCs w:val="28"/>
        </w:rPr>
        <w:t xml:space="preserve">分）</w:t>
      </w:r>
      <w:r/>
    </w:p>
    <w:p>
      <w:pPr>
        <w:pStyle w:val="755"/>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p>
    <w:p>
      <w:pPr>
        <w:numPr>
          <w:ilvl w:val="0"/>
          <w:numId w:val="0"/>
        </w:numPr>
        <w:ind w:left="420"/>
        <w:spacing w:line="500" w:lineRule="exact"/>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项目方案（</w:t>
      </w:r>
      <w:r>
        <w:rPr>
          <w:rFonts w:hint="eastAsia" w:asciiTheme="minorEastAsia" w:hAnsiTheme="minorEastAsia" w:eastAsiaTheme="minorEastAsia" w:cstheme="minorEastAsia"/>
          <w:b/>
          <w:bCs/>
          <w:color w:val="auto"/>
          <w:sz w:val="24"/>
          <w:szCs w:val="24"/>
          <w:lang w:val="en-US" w:eastAsia="zh-CN"/>
        </w:rPr>
        <w:t xml:space="preserve">2</w:t>
      </w:r>
      <w:r>
        <w:rPr>
          <w:rFonts w:hint="eastAsia" w:asciiTheme="minorEastAsia" w:hAnsiTheme="minorEastAsia" w:eastAsiaTheme="minorEastAsia" w:cstheme="minorEastAsia"/>
          <w:b/>
          <w:bCs/>
          <w:color w:val="auto"/>
          <w:sz w:val="24"/>
          <w:szCs w:val="24"/>
          <w:lang w:val="en-US"/>
        </w:rPr>
        <w:t xml:space="preserve">3</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bCs/>
          <w:color w:val="auto"/>
          <w:sz w:val="24"/>
          <w:szCs w:val="24"/>
        </w:rPr>
        <w:t xml:space="preserve">考察投标人项目技术方案，在响应采购文件需求的基础上针对下列各部分进行评价，要求体现科学合理性、条理性、可行性、完善性、针对性，无方案不得分。</w:t>
      </w:r>
      <w:r/>
    </w:p>
    <w:p>
      <w:pPr>
        <w:ind w:firstLine="480"/>
        <w:spacing w:line="360" w:lineRule="auto"/>
        <w:rPr>
          <w:rFonts w:ascii="宋体" w:hAnsi="宋体"/>
          <w:bCs/>
          <w:sz w:val="24"/>
        </w:rPr>
      </w:pPr>
      <w:r>
        <w:rPr>
          <w:rFonts w:hint="eastAsia" w:asciiTheme="minorEastAsia" w:hAnsiTheme="minorEastAsia" w:eastAsiaTheme="minorEastAsia" w:cstheme="minorEastAsia"/>
          <w:color w:val="000000"/>
          <w:sz w:val="24"/>
        </w:rPr>
        <w:t xml:space="preserve">1、</w:t>
      </w:r>
      <w:r>
        <w:rPr>
          <w:rFonts w:hint="eastAsia" w:asciiTheme="minorEastAsia" w:hAnsiTheme="minorEastAsia" w:eastAsiaTheme="minorEastAsia" w:cstheme="minorEastAsia"/>
          <w:bCs/>
          <w:sz w:val="24"/>
        </w:rPr>
        <w:t xml:space="preserve">项目总体概述（8分）：内容</w:t>
      </w:r>
      <w:r>
        <w:rPr>
          <w:rFonts w:hint="eastAsia" w:ascii="宋体" w:hAnsi="宋体"/>
          <w:bCs/>
          <w:sz w:val="24"/>
        </w:rPr>
        <w:t xml:space="preserve">包括：①对本项目整体概况；②综合整体项目做出服务承诺概述；③对整体项目进行管理要求概述；④对整体项目进行技术要求概述。</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方案较完整，科学合理性较强，设计较清晰详细，能够符合本项目需求，能够提供上述4项方案的，得8分；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方案完整性一般，科学合理性一般，设计清晰详细程度一般，能够符合本项目需求，能够提供上述3-4项方案的，得5分；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方案完整性、科学合理性、设计的清晰详细程度等只能基本满足要求，能够提供上述2-4项方案的，得2分；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ind w:firstLine="480"/>
        <w:spacing w:line="360" w:lineRule="auto"/>
        <w:rPr>
          <w:rFonts w:ascii="宋体" w:hAnsi="宋体"/>
          <w:bCs/>
          <w:sz w:val="24"/>
        </w:rPr>
      </w:pPr>
      <w:r>
        <w:rPr>
          <w:rFonts w:hint="eastAsia" w:ascii="宋体" w:hAnsi="宋体"/>
          <w:bCs/>
          <w:sz w:val="24"/>
        </w:rPr>
        <w:t xml:space="preserve">2、项目实施方案（8分</w:t>
      </w:r>
      <w:r>
        <w:rPr>
          <w:rFonts w:ascii="宋体" w:hAnsi="宋体"/>
          <w:bCs/>
          <w:sz w:val="24"/>
        </w:rPr>
        <w:t xml:space="preserve">）</w:t>
      </w:r>
      <w:r>
        <w:rPr>
          <w:rFonts w:hint="eastAsia" w:ascii="宋体" w:hAnsi="宋体"/>
          <w:bCs/>
          <w:sz w:val="24"/>
        </w:rPr>
        <w:t xml:space="preserve">：内容包括：</w:t>
      </w:r>
      <w:r>
        <w:rPr>
          <w:rFonts w:hint="eastAsia" w:ascii="宋体" w:hAnsi="宋体" w:cs="宋体"/>
          <w:bCs/>
          <w:sz w:val="24"/>
        </w:rPr>
        <w:t xml:space="preserve">①对整体项目实施方案总述；②对整体项目实施安排做详细规划；③对项目重点内容进行重点安排；④对</w:t>
      </w:r>
      <w:r>
        <w:rPr>
          <w:rFonts w:hint="eastAsia" w:ascii="宋体" w:hAnsi="宋体"/>
          <w:bCs/>
          <w:sz w:val="24"/>
        </w:rPr>
        <w:t xml:space="preserve">项目人员做详细安排，明确分工。</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方案较完整，科学合理性较强，设计较清晰详细，能够符合本项目需求，能够提供上述4项方案的，得</w:t>
      </w:r>
      <w:r>
        <w:rPr>
          <w:rFonts w:hint="eastAsia" w:ascii="宋体" w:hAnsi="宋体"/>
          <w:bCs/>
          <w:sz w:val="24"/>
          <w:lang w:val="en-US" w:eastAsia="zh-CN"/>
        </w:rPr>
        <w:t xml:space="preserve">8</w:t>
      </w:r>
      <w:r>
        <w:rPr>
          <w:rFonts w:hint="eastAsia" w:ascii="宋体" w:hAnsi="宋体"/>
          <w:bCs/>
          <w:sz w:val="24"/>
        </w:rPr>
        <w:t xml:space="preserve">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方案完整性一般，科学合理性一般，设计清晰详细程度一般，能够符合本项目需求，能够提供上述3-4项方案的，得5分；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方案完整性、科学合理性、设计的清晰详细程度等只能基本满足要求，能够提供上述2-4项方案的，得2分；</w:t>
      </w:r>
      <w:r/>
    </w:p>
    <w:p>
      <w:pPr>
        <w:ind w:firstLine="480"/>
        <w:spacing w:line="360" w:lineRule="auto"/>
        <w:rPr>
          <w:rFonts w:ascii="宋体" w:hAnsi="宋体"/>
          <w:bCs/>
          <w:sz w:val="24"/>
        </w:rPr>
      </w:pPr>
      <w:r>
        <w:rPr>
          <w:rFonts w:hint="eastAsia" w:ascii="宋体" w:hAnsi="宋体"/>
          <w:bCs/>
          <w:sz w:val="24"/>
        </w:rPr>
        <w:t xml:space="preserve">提供方案不足2项或无方案的，不得分。</w:t>
      </w:r>
      <w:r/>
    </w:p>
    <w:p>
      <w:pPr>
        <w:ind w:firstLine="480"/>
        <w:spacing w:line="360" w:lineRule="auto"/>
        <w:rPr>
          <w:rFonts w:ascii="宋体" w:hAnsi="宋体"/>
          <w:bCs/>
          <w:sz w:val="24"/>
        </w:rPr>
      </w:pPr>
      <w:r>
        <w:rPr>
          <w:rFonts w:hint="eastAsia" w:ascii="宋体" w:hAnsi="宋体"/>
          <w:bCs/>
          <w:sz w:val="24"/>
        </w:rPr>
        <w:t xml:space="preserve">3、进度计划及保证措施（7分）：内容包括：</w:t>
      </w:r>
      <w:r>
        <w:rPr>
          <w:rFonts w:hint="eastAsia" w:ascii="宋体" w:hAnsi="宋体" w:cs="宋体"/>
          <w:bCs/>
          <w:sz w:val="24"/>
        </w:rPr>
        <w:t xml:space="preserve">①对项目整体实施进度做详细计划；②规划生产发货及物流所需时间人员安排；③对项目</w:t>
      </w:r>
      <w:r>
        <w:rPr>
          <w:rFonts w:hint="eastAsia" w:ascii="宋体" w:hAnsi="宋体"/>
          <w:bCs/>
          <w:sz w:val="24"/>
        </w:rPr>
        <w:t xml:space="preserve">安装调试做出详细计划及调试方案；</w:t>
      </w:r>
      <w:r>
        <w:rPr>
          <w:rFonts w:hint="eastAsia" w:ascii="宋体" w:hAnsi="宋体" w:cs="宋体"/>
          <w:bCs/>
          <w:sz w:val="24"/>
        </w:rPr>
        <w:t xml:space="preserve">④</w:t>
      </w:r>
      <w:r>
        <w:rPr>
          <w:rFonts w:hint="eastAsia" w:ascii="宋体" w:hAnsi="宋体"/>
          <w:bCs/>
          <w:sz w:val="24"/>
        </w:rPr>
        <w:t xml:space="preserve">保证安装实施过程中保护设备及人员安全措施。</w:t>
      </w:r>
      <w:r/>
    </w:p>
    <w:p>
      <w:pPr>
        <w:ind w:firstLine="480"/>
        <w:spacing w:line="360" w:lineRule="auto"/>
        <w:rPr>
          <w:rFonts w:ascii="宋体" w:hAnsi="宋体"/>
          <w:bCs/>
          <w:sz w:val="24"/>
        </w:rPr>
      </w:pPr>
      <w:r>
        <w:rPr>
          <w:rFonts w:hint="eastAsia" w:ascii="宋体" w:hAnsi="宋体"/>
          <w:bCs/>
          <w:sz w:val="24"/>
        </w:rPr>
        <w:t xml:space="preserve">方案较完整，科学合理性较强，设计较清晰详细，能够符合本项目需求，能够提供上述4项方案的，得7分；</w:t>
      </w:r>
      <w:r/>
    </w:p>
    <w:p>
      <w:pPr>
        <w:ind w:firstLine="480"/>
        <w:spacing w:line="360" w:lineRule="auto"/>
        <w:rPr>
          <w:rFonts w:ascii="宋体" w:hAnsi="宋体"/>
          <w:bCs/>
          <w:sz w:val="24"/>
        </w:rPr>
      </w:pPr>
      <w:r>
        <w:rPr>
          <w:rFonts w:hint="eastAsia" w:ascii="宋体" w:hAnsi="宋体"/>
          <w:bCs/>
          <w:sz w:val="24"/>
        </w:rPr>
        <w:t xml:space="preserve">方案完整性一般，科学合理性一般，设计清晰详细程度一般，能够符合本项目需求，能够提供上述3-4项方案的，得5分；</w:t>
      </w:r>
      <w:r/>
    </w:p>
    <w:p>
      <w:pPr>
        <w:ind w:firstLine="480"/>
        <w:spacing w:line="360" w:lineRule="auto"/>
        <w:rPr>
          <w:rFonts w:ascii="宋体" w:hAnsi="宋体"/>
          <w:bCs/>
          <w:sz w:val="24"/>
        </w:rPr>
      </w:pPr>
      <w:r>
        <w:rPr>
          <w:rFonts w:hint="eastAsia" w:ascii="宋体" w:hAnsi="宋体"/>
          <w:bCs/>
          <w:sz w:val="24"/>
        </w:rPr>
        <w:t xml:space="preserve">方案完整性、科学合理性、设计的清晰详细程度等只能基本满足要求，能够提供上述2-4项方案的，得2分；</w:t>
      </w:r>
      <w:r/>
    </w:p>
    <w:p>
      <w:pPr>
        <w:ind w:firstLine="480"/>
        <w:spacing w:line="360" w:lineRule="auto"/>
        <w:rPr>
          <w:rFonts w:ascii="宋体" w:hAnsi="宋体"/>
          <w:b/>
          <w:bCs/>
          <w:sz w:val="24"/>
        </w:rPr>
      </w:pPr>
      <w:r>
        <w:rPr>
          <w:rFonts w:hint="eastAsia" w:ascii="宋体" w:hAnsi="宋体"/>
          <w:bCs/>
          <w:sz w:val="24"/>
        </w:rPr>
        <w:t xml:space="preserve">提供方案不足2项或无方案的，不得分。</w:t>
      </w:r>
      <w:r/>
    </w:p>
    <w:p>
      <w:pPr>
        <w:pStyle w:val="755"/>
        <w:ind w:firstLine="480"/>
        <w:spacing w:before="0" w:after="0" w:line="500" w:lineRule="exact"/>
        <w:rPr>
          <w:rFonts w:hint="eastAsia" w:ascii="宋体" w:hAnsi="宋体"/>
          <w:color w:val="000000"/>
        </w:rPr>
      </w:pPr>
      <w:r>
        <w:rPr>
          <w:rFonts w:hint="eastAsia" w:ascii="宋体" w:hAnsi="宋体"/>
          <w:color w:val="000000"/>
        </w:rPr>
      </w:r>
      <w:r/>
    </w:p>
    <w:p>
      <w:pPr>
        <w:jc w:val="center"/>
        <w:spacing w:line="500" w:lineRule="exact"/>
        <w:rPr>
          <w:rFonts w:hint="eastAsia" w:ascii="黑体" w:eastAsia="黑体"/>
          <w:bCs/>
          <w:sz w:val="36"/>
          <w:szCs w:val="36"/>
        </w:rPr>
      </w:pPr>
      <w:r>
        <w:rPr>
          <w:rFonts w:ascii="宋体" w:hAnsi="宋体"/>
          <w:color w:val="000000"/>
        </w:rPr>
        <w:br w:type="page" w:clear="all"/>
      </w:r>
      <w:r>
        <w:rPr>
          <w:rFonts w:hint="eastAsia" w:ascii="黑体" w:eastAsia="黑体"/>
          <w:bCs/>
          <w:sz w:val="36"/>
          <w:szCs w:val="36"/>
        </w:rPr>
        <w:t xml:space="preserve">第六章  </w:t>
      </w:r>
      <w:bookmarkEnd w:id="191"/>
      <w:r/>
      <w:bookmarkEnd w:id="192"/>
      <w:r/>
      <w:bookmarkEnd w:id="195"/>
      <w:r>
        <w:rPr>
          <w:rFonts w:hint="eastAsia" w:ascii="黑体" w:eastAsia="黑体"/>
          <w:bCs/>
          <w:sz w:val="36"/>
          <w:szCs w:val="36"/>
        </w:rPr>
        <w:t xml:space="preserve">投标文件内容与格式</w:t>
      </w:r>
      <w:r/>
    </w:p>
    <w:p>
      <w:pPr>
        <w:pStyle w:val="755"/>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75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7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5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5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5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17"/>
                <w:rFonts w:hint="eastAsia" w:ascii="宋体" w:hAnsi="宋体" w:cs="宋体"/>
                <w:sz w:val="24"/>
                <w:szCs w:val="24"/>
              </w:rPr>
              <w:t xml:space="preserve">。</w:t>
            </w:r>
            <w:r/>
          </w:p>
        </w:tc>
        <w:tc>
          <w:tcPr>
            <w:tcW w:w="2449" w:type="dxa"/>
            <w:vAlign w:val="center"/>
            <w:vMerge w:val="continue"/>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5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5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55"/>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55"/>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5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5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5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5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5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5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55"/>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55"/>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55"/>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5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55"/>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5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55"/>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5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55"/>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55"/>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55"/>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55"/>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55"/>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5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5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55"/>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55"/>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JSZC-320214-JZCG-G2026-0012</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天一中学新吴分校新建工程电脑采购项目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auto"/>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53"/>
        <w:ind w:firstLine="480"/>
        <w:rPr>
          <w:rFonts w:hint="eastAsia"/>
          <w:color w:val="auto"/>
          <w:sz w:val="24"/>
          <w:szCs w:val="24"/>
        </w:rPr>
      </w:pPr>
      <w:r>
        <w:rPr>
          <w:rFonts w:hint="eastAsia"/>
          <w:sz w:val="24"/>
          <w:szCs w:val="24"/>
        </w:rPr>
        <w:t xml:space="preserve">我公司（单位、联合体）针对</w:t>
      </w:r>
      <w:r>
        <w:rPr>
          <w:rFonts w:hint="eastAsia" w:ascii="宋体" w:hAnsi="宋体"/>
          <w:bCs/>
          <w:color w:val="auto"/>
          <w:sz w:val="24"/>
          <w:szCs w:val="24"/>
          <w:lang w:eastAsia="zh-CN"/>
        </w:rPr>
        <w:t xml:space="preserve">JSZC-320214-JZCG-G2026-0012</w:t>
      </w:r>
      <w:r>
        <w:rPr>
          <w:rFonts w:hint="eastAsia" w:ascii="宋体" w:hAnsi="宋体"/>
          <w:bCs/>
          <w:color w:val="auto"/>
          <w:sz w:val="24"/>
          <w:szCs w:val="24"/>
        </w:rPr>
        <w:t xml:space="preserve">项目，兹授权：</w:t>
      </w:r>
      <w:r/>
    </w:p>
    <w:p>
      <w:pPr>
        <w:pStyle w:val="753"/>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53"/>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53"/>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53"/>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753"/>
        <w:ind w:firstLine="480"/>
        <w:rPr>
          <w:rFonts w:hint="eastAsia"/>
          <w:color w:val="auto"/>
          <w:sz w:val="24"/>
          <w:szCs w:val="24"/>
        </w:rPr>
      </w:pPr>
      <w:r>
        <w:rPr>
          <w:rFonts w:hint="eastAsia"/>
          <w:color w:val="auto"/>
          <w:sz w:val="24"/>
          <w:szCs w:val="24"/>
        </w:rPr>
        <w:t xml:space="preserve">特此授权委托。</w:t>
      </w:r>
      <w:r/>
    </w:p>
    <w:p>
      <w:pPr>
        <w:pStyle w:val="753"/>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753"/>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753"/>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53"/>
        <w:ind w:firstLine="0"/>
        <w:spacing w:line="360" w:lineRule="auto"/>
        <w:rPr>
          <w:rFonts w:hint="eastAsia"/>
          <w:color w:val="auto"/>
          <w:sz w:val="21"/>
          <w:szCs w:val="21"/>
        </w:rPr>
      </w:pPr>
      <w:r>
        <w:rPr>
          <w:rFonts w:hint="eastAsia"/>
          <w:color w:val="auto"/>
          <w:sz w:val="21"/>
          <w:szCs w:val="21"/>
        </w:rPr>
      </w:r>
      <w:r/>
    </w:p>
    <w:p>
      <w:pPr>
        <w:pStyle w:val="753"/>
        <w:ind w:firstLine="0"/>
        <w:spacing w:line="360" w:lineRule="auto"/>
        <w:rPr>
          <w:rFonts w:hint="eastAsia"/>
          <w:color w:val="auto"/>
          <w:sz w:val="21"/>
          <w:szCs w:val="21"/>
        </w:rPr>
      </w:pPr>
      <w:r>
        <w:rPr>
          <w:rFonts w:hint="eastAsia"/>
          <w:color w:val="auto"/>
          <w:sz w:val="21"/>
          <w:szCs w:val="21"/>
        </w:rPr>
        <w:t xml:space="preserve">说明：</w:t>
      </w:r>
      <w:r/>
    </w:p>
    <w:p>
      <w:pPr>
        <w:pStyle w:val="753"/>
        <w:numPr>
          <w:ilvl w:val="0"/>
          <w:numId w:val="10"/>
        </w:numPr>
        <w:ind w:firstLine="420"/>
        <w:spacing w:line="360" w:lineRule="auto"/>
        <w:rPr>
          <w:rFonts w:hint="eastAsia"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753"/>
        <w:numPr>
          <w:ilvl w:val="0"/>
          <w:numId w:val="10"/>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53"/>
        <w:numPr>
          <w:ilvl w:val="0"/>
          <w:numId w:val="10"/>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753"/>
        <w:numPr>
          <w:ilvl w:val="0"/>
          <w:numId w:val="10"/>
        </w:numPr>
        <w:ind w:firstLine="420"/>
        <w:spacing w:line="360" w:lineRule="auto"/>
        <w:rPr>
          <w:rFonts w:hint="eastAsia"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被授权人为外籍、港、澳、台地区人士的，其身份证明须提供有效的护照或港澳同胞来往内地通行证、台湾同胞来往大陆通行证，或其它可在中国大陆有效居留的许可证明。</w:t>
      </w:r>
      <w:r/>
    </w:p>
    <w:p>
      <w:pPr>
        <w:pStyle w:val="753"/>
        <w:ind w:firstLine="0"/>
        <w:rPr>
          <w:rFonts w:hint="eastAsia"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JSZC-320214-JZCG-G2026-0012</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w:t>
      </w:r>
      <w:r>
        <w:rPr>
          <w:rFonts w:hint="eastAsia" w:ascii="宋体" w:hAnsi="宋体"/>
          <w:bCs/>
          <w:color w:val="000000"/>
          <w:sz w:val="24"/>
          <w:szCs w:val="24"/>
        </w:rPr>
        <w:t xml:space="preserve">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rFonts w:ascii="宋体" w:hAnsi="宋体"/>
          <w:bCs/>
          <w:sz w:val="24"/>
          <w:szCs w:val="24"/>
        </w:rPr>
      </w:pPr>
      <w:r>
        <w:rPr>
          <w:rFonts w:ascii="宋体" w:hAnsi="宋体"/>
          <w:bCs/>
          <w:sz w:val="24"/>
          <w:szCs w:val="24"/>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pPr>
      <w:r>
        <w:br w:type="page" w:clear="all"/>
      </w:r>
      <w:r/>
    </w:p>
    <w:p>
      <w:pPr>
        <w:jc w:val="both"/>
        <w:spacing w:line="360" w:lineRule="auto"/>
        <w:rPr>
          <w:rFonts w:hint="eastAsia" w:eastAsia="宋体" w:asciiTheme="minorEastAsia" w:hAnsiTheme="minorEastAsia" w:cstheme="minorEastAsia"/>
          <w:b/>
          <w:bCs w:val="0"/>
          <w:color w:val="000000"/>
          <w:sz w:val="28"/>
          <w:szCs w:val="28"/>
          <w:highlight w:val="none"/>
          <w:lang w:eastAsia="zh-CN"/>
        </w:rPr>
      </w:pPr>
      <w:r>
        <w:rPr>
          <w:rFonts w:hint="eastAsia"/>
          <w:b/>
          <w:sz w:val="28"/>
          <w:szCs w:val="28"/>
          <w:lang w:val="en-US" w:eastAsia="zh-CN"/>
        </w:rPr>
        <w:t xml:space="preserve">五</w:t>
      </w:r>
      <w:r>
        <w:rPr>
          <w:rFonts w:hint="eastAsia"/>
          <w:b/>
          <w:sz w:val="28"/>
          <w:szCs w:val="28"/>
          <w:highlight w:val="none"/>
          <w:lang w:val="en-US" w:eastAsia="zh-CN"/>
        </w:rPr>
        <w:t xml:space="preserve">、</w:t>
      </w:r>
      <w:r>
        <w:rPr>
          <w:rFonts w:hint="eastAsia" w:asciiTheme="minorEastAsia" w:hAnsiTheme="minorEastAsia" w:eastAsiaTheme="minorEastAsia" w:cstheme="minorEastAsia"/>
          <w:b/>
          <w:bCs w:val="0"/>
          <w:color w:val="000000"/>
          <w:sz w:val="28"/>
          <w:szCs w:val="28"/>
          <w:highlight w:val="none"/>
        </w:rPr>
        <w:t xml:space="preserve">关于符合本国产品标准的声明函</w:t>
      </w:r>
      <w:r>
        <w:rPr>
          <w:rFonts w:hint="eastAsia" w:ascii="宋体" w:hAnsi="宋体" w:cs="宋体"/>
          <w:b/>
          <w:sz w:val="28"/>
          <w:szCs w:val="28"/>
          <w:highlight w:val="none"/>
        </w:rPr>
        <w:t xml:space="preserve">（</w:t>
      </w:r>
      <w:r>
        <w:rPr>
          <w:rFonts w:hint="eastAsia" w:ascii="宋体" w:hAnsi="宋体" w:cs="宋体"/>
          <w:b/>
          <w:sz w:val="28"/>
          <w:szCs w:val="28"/>
        </w:rPr>
        <w:t xml:space="preserve">给定格式）</w:t>
      </w:r>
      <w:r>
        <w:rPr>
          <w:rFonts w:hint="eastAsia" w:ascii="宋体" w:hAnsi="宋体" w:cs="宋体"/>
          <w:b/>
          <w:sz w:val="28"/>
          <w:szCs w:val="28"/>
          <w:lang w:eastAsia="zh-CN"/>
        </w:rPr>
        <w:t xml:space="preserve">：</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1.产品如有型号，请在“产品名称”栏一并填写。</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4.该产品的关键组件要求实施前，“关键组件”栏可不填，下同。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6.划删除线的地方无需填写。</w:t>
      </w:r>
      <w:r/>
    </w:p>
    <w:p>
      <w:pPr>
        <w:spacing w:line="360" w:lineRule="auto"/>
        <w:rPr>
          <w:rFonts w:hint="eastAsia" w:eastAsia="宋体"/>
          <w:b/>
          <w:sz w:val="28"/>
          <w:szCs w:val="28"/>
          <w:lang w:val="en-US" w:eastAsia="zh-CN"/>
        </w:rPr>
      </w:pPr>
      <w:r>
        <w:rPr>
          <w:rFonts w:hint="eastAsia" w:eastAsia="宋体"/>
          <w:b/>
          <w:sz w:val="28"/>
          <w:szCs w:val="28"/>
          <w:lang w:val="en-US" w:eastAsia="zh-CN"/>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ascii="宋体" w:hAnsi="宋体" w:cs="宋体"/>
          <w:b/>
          <w:sz w:val="28"/>
          <w:szCs w:val="28"/>
        </w:rPr>
      </w:pPr>
      <w:r>
        <w:rPr>
          <w:rFonts w:hint="eastAsia" w:ascii="宋体" w:hAnsi="宋体" w:cs="宋体"/>
          <w:b/>
          <w:sz w:val="28"/>
          <w:szCs w:val="28"/>
          <w:lang w:val="en-US" w:eastAsia="zh-CN"/>
        </w:rPr>
        <w:t xml:space="preserve">六</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ascii="宋体" w:hAnsi="宋体"/>
          <w:b/>
          <w:bCs w:val="0"/>
          <w:color w:val="000000"/>
          <w:sz w:val="24"/>
          <w:szCs w:val="24"/>
          <w:lang w:val="en-US" w:eastAsia="zh-CN"/>
        </w:rPr>
        <w:t xml:space="preserve">七</w:t>
      </w:r>
      <w:r>
        <w:rPr>
          <w:b/>
          <w:bCs w:val="0"/>
          <w:sz w:val="28"/>
          <w:szCs w:val="28"/>
        </w:rPr>
        <w:t xml:space="preserve">、</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auto"/>
          <w:sz w:val="24"/>
          <w:szCs w:val="24"/>
          <w:lang w:eastAsia="zh-CN"/>
        </w:rPr>
        <w:t xml:space="preserve">JSZC-320214-JZCG-G2026-0012</w:t>
      </w:r>
      <w:r>
        <w:rPr>
          <w:rFonts w:hint="eastAsia" w:ascii="宋体" w:hAnsi="宋体"/>
          <w:bCs/>
          <w:color w:val="auto"/>
          <w:sz w:val="24"/>
          <w:szCs w:val="24"/>
        </w:rPr>
        <w:t xml:space="preserve">招标</w:t>
      </w:r>
      <w:r>
        <w:rPr>
          <w:rFonts w:hint="eastAsia" w:ascii="宋体" w:hAnsi="宋体"/>
          <w:bCs/>
          <w:color w:val="000000"/>
          <w:sz w:val="24"/>
          <w:szCs w:val="24"/>
        </w:rPr>
        <w:t xml:space="preserve">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1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ascii="宋体" w:hAnsi="宋体"/>
          <w:b/>
          <w:bCs w:val="0"/>
          <w:color w:val="000000"/>
          <w:sz w:val="24"/>
          <w:szCs w:val="24"/>
          <w:lang w:val="en-US" w:eastAsia="zh-CN"/>
        </w:rPr>
        <w:t xml:space="preserve">八</w:t>
      </w:r>
      <w:r>
        <w:rPr>
          <w:rFonts w:hint="eastAsia"/>
          <w:b/>
          <w:bCs w:val="0"/>
          <w:sz w:val="28"/>
          <w:szCs w:val="28"/>
        </w:rPr>
        <w:t xml:space="preserve">、承</w:t>
      </w:r>
      <w:r>
        <w:rPr>
          <w:rFonts w:hint="eastAsia"/>
          <w:b/>
          <w:sz w:val="28"/>
          <w:szCs w:val="28"/>
        </w:rPr>
        <w:t xml:space="preserve">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auto"/>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auto"/>
          <w:sz w:val="24"/>
          <w:szCs w:val="24"/>
          <w:lang w:eastAsia="zh-CN"/>
        </w:rPr>
        <w:t xml:space="preserve">JSZC-320214-JZCG-G2026-0012</w:t>
      </w:r>
      <w:r>
        <w:rPr>
          <w:rFonts w:hint="eastAsia" w:ascii="宋体" w:hAnsi="宋体"/>
          <w:color w:val="auto"/>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ascii="宋体" w:hAnsi="宋体"/>
          <w:bCs/>
          <w:color w:val="000000"/>
          <w:sz w:val="24"/>
          <w:szCs w:val="24"/>
        </w:rPr>
        <w:br w:type="page" w:clear="all"/>
      </w:r>
      <w:r>
        <w:rPr>
          <w:rFonts w:hint="eastAsia" w:ascii="宋体" w:hAnsi="宋体"/>
          <w:b/>
          <w:bCs w:val="0"/>
          <w:color w:val="000000"/>
          <w:sz w:val="24"/>
          <w:szCs w:val="24"/>
          <w:lang w:val="en-US" w:eastAsia="zh-CN"/>
        </w:rPr>
        <w:t xml:space="preserve">九</w:t>
      </w:r>
      <w:r>
        <w:rPr>
          <w:rFonts w:hint="eastAsia"/>
          <w:b/>
          <w:bCs w:val="0"/>
          <w:sz w:val="28"/>
          <w:szCs w:val="28"/>
        </w:rPr>
        <w:t xml:space="preserve">、开标</w:t>
      </w:r>
      <w:r>
        <w:rPr>
          <w:rFonts w:hint="eastAsia"/>
          <w:b/>
          <w:sz w:val="28"/>
          <w:szCs w:val="28"/>
        </w:rPr>
        <w:t xml:space="preserve">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开标一览表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 xml:space="preserve">JSZC-320214-JZCG-G2026-0012</w:t>
      </w:r>
      <w:r/>
    </w:p>
    <w:tbl>
      <w:tblPr>
        <w:tblStyle w:val="67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81"/>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天一中学新吴分校新建工程电脑采购项目</w:t>
            </w:r>
            <w:r/>
          </w:p>
        </w:tc>
        <w:tc>
          <w:tcPr>
            <w:tcW w:w="3188" w:type="dxa"/>
            <w:vAlign w:val="center"/>
            <w:textDirection w:val="lrTb"/>
            <w:noWrap w:val="false"/>
          </w:tcPr>
          <w:p>
            <w:pPr>
              <w:pStyle w:val="781"/>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u w:val="none"/>
              </w:rPr>
              <w:t xml:space="preserve">：　　　</w:t>
            </w:r>
            <w:r/>
          </w:p>
        </w:tc>
      </w:tr>
    </w:tbl>
    <w:p>
      <w:pPr>
        <w:spacing w:line="400" w:lineRule="exact"/>
        <w:rPr>
          <w:rFonts w:hint="eastAsia" w:ascii="黑体" w:eastAsia="黑体"/>
          <w:bCs/>
          <w:color w:val="auto"/>
          <w:sz w:val="24"/>
          <w:szCs w:val="24"/>
        </w:rPr>
      </w:pPr>
      <w:r>
        <w:rPr>
          <w:rFonts w:hint="eastAsia" w:ascii="黑体" w:eastAsia="黑体"/>
          <w:bCs/>
          <w:color w:val="auto"/>
          <w:sz w:val="24"/>
          <w:szCs w:val="24"/>
        </w:rPr>
        <w:t xml:space="preserve">投标人名称（盖章）：</w:t>
      </w:r>
      <w:r/>
    </w:p>
    <w:p>
      <w:pPr>
        <w:spacing w:line="400" w:lineRule="exact"/>
        <w:rPr>
          <w:rFonts w:hint="eastAsia" w:ascii="黑体" w:eastAsia="黑体"/>
          <w:bCs/>
          <w:color w:val="auto"/>
          <w:sz w:val="24"/>
          <w:szCs w:val="24"/>
        </w:rPr>
      </w:pPr>
      <w:r>
        <w:rPr>
          <w:rFonts w:hint="eastAsia" w:ascii="黑体" w:eastAsia="黑体"/>
          <w:bCs/>
          <w:color w:val="auto"/>
          <w:sz w:val="24"/>
          <w:szCs w:val="24"/>
        </w:rPr>
      </w:r>
      <w:r/>
    </w:p>
    <w:p>
      <w:pPr>
        <w:spacing w:line="400" w:lineRule="exact"/>
        <w:rPr>
          <w:rFonts w:hint="eastAsia" w:ascii="黑体" w:eastAsia="黑体"/>
          <w:bCs/>
          <w:color w:val="auto"/>
          <w:sz w:val="24"/>
          <w:szCs w:val="24"/>
        </w:rPr>
      </w:pPr>
      <w:r>
        <w:rPr>
          <w:rFonts w:hint="eastAsia" w:ascii="黑体" w:eastAsia="黑体"/>
          <w:bCs/>
          <w:color w:val="auto"/>
          <w:sz w:val="24"/>
          <w:szCs w:val="24"/>
        </w:rPr>
      </w:r>
      <w:r/>
    </w:p>
    <w:p>
      <w:pPr>
        <w:spacing w:line="400" w:lineRule="exact"/>
        <w:rPr>
          <w:rFonts w:hint="eastAsia" w:ascii="黑体" w:eastAsia="黑体"/>
          <w:bCs/>
          <w:color w:val="auto"/>
          <w:sz w:val="24"/>
          <w:szCs w:val="24"/>
        </w:rPr>
      </w:pPr>
      <w:r>
        <w:rPr>
          <w:rFonts w:hint="eastAsia" w:ascii="黑体" w:eastAsia="黑体"/>
          <w:bCs/>
          <w:color w:val="auto"/>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rPr>
      </w:pPr>
      <w:r>
        <w:rPr>
          <w:rFonts w:hint="eastAsia" w:ascii="黑体" w:eastAsia="黑体"/>
          <w:bCs/>
          <w:color w:val="auto"/>
          <w:sz w:val="24"/>
          <w:szCs w:val="24"/>
        </w:rPr>
        <w:br w:type="page" w:clear="all"/>
      </w:r>
      <w:r>
        <w:rPr>
          <w:rFonts w:hint="eastAsia" w:asciiTheme="minorEastAsia" w:hAnsiTheme="minorEastAsia" w:eastAsiaTheme="minorEastAsia" w:cstheme="minorEastAsia"/>
          <w:b/>
          <w:bCs w:val="0"/>
          <w:color w:val="auto"/>
          <w:sz w:val="28"/>
          <w:szCs w:val="28"/>
          <w:lang w:val="en-US" w:eastAsia="zh-CN"/>
        </w:rPr>
        <w:t xml:space="preserve">十</w:t>
      </w:r>
      <w:r>
        <w:rPr>
          <w:rFonts w:hint="eastAsia"/>
          <w:b/>
          <w:color w:val="auto"/>
          <w:sz w:val="28"/>
          <w:szCs w:val="28"/>
        </w:rPr>
        <w:t xml:space="preserve">、分项</w:t>
      </w:r>
      <w:r>
        <w:rPr>
          <w:b/>
          <w:color w:val="auto"/>
          <w:sz w:val="28"/>
          <w:szCs w:val="28"/>
        </w:rPr>
        <w:t xml:space="preserve">报价表</w:t>
      </w:r>
      <w:r>
        <w:rPr>
          <w:rFonts w:hint="eastAsia"/>
          <w:b/>
          <w:color w:val="auto"/>
          <w:sz w:val="28"/>
          <w:szCs w:val="28"/>
        </w:rPr>
        <w:t xml:space="preserve">（给定格式）：</w:t>
      </w:r>
      <w:bookmarkEnd w:id="198"/>
      <w:bookmarkEnd w:id="199"/>
      <w:bookmarkEnd w:id="200"/>
      <w:r/>
    </w:p>
    <w:p>
      <w:pPr>
        <w:jc w:val="center"/>
        <w:spacing w:line="400" w:lineRule="exact"/>
        <w:rPr>
          <w:rFonts w:ascii="黑体" w:eastAsia="黑体"/>
          <w:bCs/>
          <w:color w:val="auto"/>
          <w:sz w:val="28"/>
          <w:szCs w:val="28"/>
        </w:rPr>
        <w:outlineLvl w:val="0"/>
      </w:pPr>
      <w:r/>
      <w:bookmarkStart w:id="202" w:name="_Toc120614284"/>
      <w:r>
        <w:rPr>
          <w:rFonts w:hint="eastAsia" w:ascii="黑体" w:eastAsia="黑体"/>
          <w:bCs/>
          <w:color w:val="auto"/>
          <w:sz w:val="28"/>
          <w:szCs w:val="28"/>
        </w:rPr>
        <w:t xml:space="preserve">分项报价表</w:t>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auto"/>
          <w:sz w:val="24"/>
          <w:szCs w:val="24"/>
          <w:lang w:eastAsia="zh-CN"/>
        </w:rPr>
        <w:t xml:space="preserve">JSZC-320214-JZCG-G2026-0012</w:t>
      </w:r>
      <w:r/>
    </w:p>
    <w:tbl>
      <w:tblPr>
        <w:tblStyle w:val="677"/>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Mar>
              <w:left w:w="15" w:type="dxa"/>
              <w:top w:w="15" w:type="dxa"/>
              <w:right w:w="15" w:type="dxa"/>
              <w:bottom w:w="0" w:type="dxa"/>
            </w:tcMar>
            <w:tcW w:w="1050" w:type="dxa"/>
            <w:vAlign w:val="center"/>
            <w:textDirection w:val="lrTb"/>
            <w:noWrap/>
          </w:tcPr>
          <w:p>
            <w:pPr>
              <w:jc w:val="center"/>
              <w:spacing w:before="5"/>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rPr>
              <w:t xml:space="preserve">名称</w:t>
            </w:r>
            <w:r/>
          </w:p>
        </w:tc>
        <w:tc>
          <w:tcPr>
            <w:tcMar>
              <w:left w:w="15" w:type="dxa"/>
              <w:top w:w="15" w:type="dxa"/>
              <w:right w:w="15" w:type="dxa"/>
              <w:bottom w:w="0" w:type="dxa"/>
            </w:tcMar>
            <w:tcW w:w="945" w:type="dxa"/>
            <w:vAlign w:val="center"/>
            <w:textDirection w:val="lrTb"/>
            <w:noWrap/>
          </w:tcPr>
          <w:p>
            <w:pPr>
              <w:jc w:val="center"/>
              <w:spacing w:before="5"/>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76" w:type="dxa"/>
            <w:vAlign w:val="center"/>
            <w:textDirection w:val="lrTb"/>
            <w:noWrap w:val="false"/>
          </w:tcPr>
          <w:p>
            <w:pPr>
              <w:jc w:val="center"/>
              <w:spacing w:before="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产地</w:t>
            </w:r>
            <w:r/>
          </w:p>
        </w:tc>
        <w:tc>
          <w:tcPr>
            <w:tcMar>
              <w:left w:w="15" w:type="dxa"/>
              <w:top w:w="15" w:type="dxa"/>
              <w:right w:w="15" w:type="dxa"/>
              <w:bottom w:w="0" w:type="dxa"/>
            </w:tcMar>
            <w:tcW w:w="992" w:type="dxa"/>
            <w:vAlign w:val="center"/>
            <w:textDirection w:val="lrTb"/>
            <w:noWrap/>
          </w:tcPr>
          <w:p>
            <w:pPr>
              <w:jc w:val="center"/>
              <w:spacing w:before="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质保期</w:t>
            </w:r>
            <w:r/>
          </w:p>
        </w:tc>
        <w:tc>
          <w:tcPr>
            <w:tcW w:w="709" w:type="dxa"/>
            <w:vAlign w:val="center"/>
            <w:textDirection w:val="lrTb"/>
            <w:noWrap w:val="false"/>
          </w:tcPr>
          <w:p>
            <w:pPr>
              <w:jc w:val="center"/>
              <w:spacing w:before="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单报价</w:t>
            </w:r>
            <w:r/>
          </w:p>
        </w:tc>
        <w:tc>
          <w:tcPr>
            <w:tcW w:w="939" w:type="dxa"/>
            <w:vAlign w:val="center"/>
            <w:textDirection w:val="lrTb"/>
            <w:noWrap w:val="false"/>
          </w:tcPr>
          <w:p>
            <w:pPr>
              <w:jc w:val="center"/>
              <w:spacing w:before="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96"/>
              <w:spacing w:before="5"/>
              <w:tabs>
                <w:tab w:val="clear" w:pos="4153" w:leader="none"/>
                <w:tab w:val="clear" w:pos="8306" w:leader="none"/>
              </w:tabs>
              <w:rPr>
                <w:rFonts w:hint="eastAsia" w:asciiTheme="minorEastAsia" w:hAnsiTheme="minorEastAsia" w:eastAsiaTheme="minorEastAsia" w:cstheme="minorEastAsia"/>
                <w:color w:val="000000"/>
                <w:sz w:val="24"/>
                <w:szCs w:val="24"/>
                <w:lang w:val="en-US" w:eastAsia="zh-CN"/>
              </w:rPr>
              <w:pBdr>
                <w:bottom w:val="none" w:color="auto" w:sz="0" w:space="0"/>
              </w:pBdr>
            </w:pPr>
            <w:r>
              <w:rPr>
                <w:rFonts w:hint="eastAsia" w:asciiTheme="minorEastAsia" w:hAnsiTheme="minorEastAsia" w:eastAsiaTheme="minorEastAsia" w:cstheme="minorEastAsia"/>
                <w:color w:val="000000"/>
                <w:sz w:val="24"/>
                <w:szCs w:val="24"/>
                <w:lang w:val="en-US" w:eastAsia="zh-CN"/>
              </w:rPr>
              <w:t xml:space="preserve">1</w:t>
            </w:r>
            <w:r/>
          </w:p>
        </w:tc>
        <w:tc>
          <w:tcPr>
            <w:tcMar>
              <w:left w:w="15" w:type="dxa"/>
              <w:top w:w="15" w:type="dxa"/>
              <w:right w:w="15" w:type="dxa"/>
              <w:bottom w:w="0" w:type="dxa"/>
            </w:tcMar>
            <w:tcW w:w="1050" w:type="dxa"/>
            <w:vAlign w:val="center"/>
            <w:textDirection w:val="lrTb"/>
            <w:noWrap/>
          </w:tcPr>
          <w:p>
            <w:pPr>
              <w:pStyle w:val="696"/>
              <w:tabs>
                <w:tab w:val="clear" w:pos="4153" w:leader="none"/>
                <w:tab w:val="clear" w:pos="8306" w:leader="none"/>
              </w:tabs>
              <w:rPr>
                <w:rFonts w:hint="eastAsia" w:asciiTheme="minorEastAsia" w:hAnsiTheme="minorEastAsia" w:eastAsiaTheme="minorEastAsia" w:cstheme="minorEastAsia"/>
                <w:bCs/>
                <w:color w:val="000000"/>
                <w:sz w:val="24"/>
                <w:szCs w:val="24"/>
                <w:lang w:val="en-US" w:eastAsia="zh-CN"/>
              </w:rPr>
              <w:pBdr>
                <w:bottom w:val="none" w:color="auto" w:sz="0" w:space="0"/>
              </w:pBdr>
            </w:pPr>
            <w:r>
              <w:rPr>
                <w:rFonts w:hint="eastAsia" w:asciiTheme="minorEastAsia" w:hAnsiTheme="minorEastAsia" w:eastAsiaTheme="minorEastAsia" w:cstheme="minorEastAsia"/>
                <w:bCs/>
                <w:color w:val="000000"/>
                <w:sz w:val="24"/>
                <w:szCs w:val="24"/>
                <w:lang w:val="en-US" w:eastAsia="zh-CN"/>
              </w:rPr>
            </w:r>
            <w:r/>
          </w:p>
        </w:tc>
        <w:tc>
          <w:tcPr>
            <w:tcMar>
              <w:left w:w="15" w:type="dxa"/>
              <w:top w:w="15" w:type="dxa"/>
              <w:right w:w="15" w:type="dxa"/>
              <w:bottom w:w="0" w:type="dxa"/>
            </w:tcMar>
            <w:tcW w:w="945" w:type="dxa"/>
            <w:vAlign w:val="center"/>
            <w:textDirection w:val="lrTb"/>
            <w:noWrap w:val="false"/>
          </w:tcPr>
          <w:p>
            <w:pPr>
              <w:pStyle w:val="696"/>
              <w:tabs>
                <w:tab w:val="clear" w:pos="4153" w:leader="none"/>
                <w:tab w:val="clear" w:pos="8306" w:leader="none"/>
              </w:tabs>
              <w:rPr>
                <w:rFonts w:hint="eastAsia" w:asciiTheme="minorEastAsia" w:hAnsiTheme="minorEastAsia" w:eastAsiaTheme="minorEastAsia" w:cstheme="minorEastAsia"/>
                <w:bCs/>
                <w:color w:val="000000"/>
                <w:sz w:val="24"/>
                <w:szCs w:val="24"/>
                <w:lang w:val="en-US" w:eastAsia="zh-CN"/>
              </w:rPr>
              <w:pBdr>
                <w:bottom w:val="none" w:color="auto" w:sz="0" w:space="0"/>
              </w:pBdr>
            </w:pPr>
            <w:r>
              <w:rPr>
                <w:rFonts w:hint="eastAsia" w:asciiTheme="minorEastAsia" w:hAnsiTheme="minorEastAsia" w:eastAsiaTheme="minorEastAsia" w:cstheme="minorEastAsia"/>
                <w:bCs/>
                <w:color w:val="000000"/>
                <w:sz w:val="24"/>
                <w:szCs w:val="24"/>
                <w:lang w:val="en-US" w:eastAsia="zh-CN"/>
              </w:rPr>
            </w:r>
            <w:r/>
          </w:p>
        </w:tc>
        <w:tc>
          <w:tcPr>
            <w:tcMar>
              <w:left w:w="15" w:type="dxa"/>
              <w:top w:w="15" w:type="dxa"/>
              <w:right w:w="15" w:type="dxa"/>
              <w:bottom w:w="0" w:type="dxa"/>
            </w:tcMar>
            <w:tcW w:w="3045" w:type="dxa"/>
            <w:vAlign w:val="top"/>
            <w:textDirection w:val="lrTb"/>
            <w:noWrap w:val="false"/>
          </w:tcPr>
          <w:p>
            <w:pPr>
              <w:jc w:val="center"/>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　</w:t>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　</w:t>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Mar>
              <w:left w:w="15" w:type="dxa"/>
              <w:top w:w="15" w:type="dxa"/>
              <w:right w:w="15" w:type="dxa"/>
              <w:bottom w:w="0" w:type="dxa"/>
            </w:tcMar>
            <w:tcW w:w="1050" w:type="dxa"/>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Mar>
              <w:left w:w="15" w:type="dxa"/>
              <w:top w:w="15" w:type="dxa"/>
              <w:right w:w="15" w:type="dxa"/>
              <w:bottom w:w="0" w:type="dxa"/>
            </w:tcMar>
            <w:tcW w:w="945" w:type="dxa"/>
            <w:vAlign w:val="center"/>
            <w:textDirection w:val="lrTb"/>
            <w:noWrap w:val="false"/>
          </w:tcPr>
          <w:p>
            <w:pPr>
              <w:pStyle w:val="696"/>
              <w:tabs>
                <w:tab w:val="clear" w:pos="4153" w:leader="none"/>
                <w:tab w:val="clear" w:pos="8306" w:leader="none"/>
              </w:tabs>
              <w:rPr>
                <w:rFonts w:hint="eastAsia" w:asciiTheme="minorEastAsia" w:hAnsiTheme="minorEastAsia" w:eastAsiaTheme="minorEastAsia" w:cstheme="minorEastAsia"/>
                <w:bCs/>
                <w:color w:val="000000"/>
                <w:sz w:val="24"/>
                <w:szCs w:val="24"/>
                <w:lang w:val="en-US" w:eastAsia="zh-CN"/>
              </w:rPr>
              <w:pBdr>
                <w:bottom w:val="none" w:color="auto" w:sz="0" w:space="0"/>
              </w:pBdr>
            </w:pPr>
            <w:r>
              <w:rPr>
                <w:rFonts w:hint="eastAsia" w:asciiTheme="minorEastAsia" w:hAnsiTheme="minorEastAsia" w:eastAsiaTheme="minorEastAsia" w:cstheme="minorEastAsia"/>
                <w:bCs/>
                <w:color w:val="000000"/>
                <w:sz w:val="24"/>
                <w:szCs w:val="24"/>
                <w:lang w:val="en-US"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　</w:t>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　</w:t>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Mar>
              <w:left w:w="15" w:type="dxa"/>
              <w:top w:w="15" w:type="dxa"/>
              <w:right w:w="15" w:type="dxa"/>
              <w:bottom w:w="0" w:type="dxa"/>
            </w:tcMar>
            <w:tcW w:w="1050" w:type="dxa"/>
            <w:vAlign w:val="center"/>
            <w:textDirection w:val="lrTb"/>
            <w:noWrap/>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p>
        </w:tc>
        <w:tc>
          <w:tcPr>
            <w:tcMar>
              <w:left w:w="15" w:type="dxa"/>
              <w:top w:w="15" w:type="dxa"/>
              <w:right w:w="15" w:type="dxa"/>
              <w:bottom w:w="0" w:type="dxa"/>
            </w:tcMar>
            <w:tcW w:w="945" w:type="dxa"/>
            <w:vAlign w:val="center"/>
            <w:textDirection w:val="lrTb"/>
            <w:noWrap w:val="false"/>
          </w:tcPr>
          <w:p>
            <w:pPr>
              <w:pStyle w:val="696"/>
              <w:tabs>
                <w:tab w:val="clear" w:pos="4153" w:leader="none"/>
                <w:tab w:val="clear" w:pos="8306" w:leader="none"/>
              </w:tabs>
              <w:rPr>
                <w:rFonts w:hint="eastAsia" w:asciiTheme="minorEastAsia" w:hAnsiTheme="minorEastAsia" w:eastAsiaTheme="minorEastAsia" w:cstheme="minorEastAsia"/>
                <w:bCs/>
                <w:color w:val="000000"/>
                <w:sz w:val="24"/>
                <w:szCs w:val="24"/>
                <w:lang w:val="en-US" w:eastAsia="zh-CN"/>
              </w:rPr>
              <w:pBdr>
                <w:bottom w:val="none" w:color="auto" w:sz="0" w:space="0"/>
              </w:pBdr>
            </w:pPr>
            <w:r>
              <w:rPr>
                <w:rFonts w:hint="eastAsia" w:asciiTheme="minorEastAsia" w:hAnsiTheme="minorEastAsia" w:eastAsiaTheme="minorEastAsia" w:cstheme="minorEastAsia"/>
                <w:bCs/>
                <w:color w:val="000000"/>
                <w:sz w:val="24"/>
                <w:szCs w:val="24"/>
                <w:lang w:val="en-US"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p>
          <w:p>
            <w:pPr>
              <w:jc w:val="left"/>
              <w:rPr>
                <w:rFonts w:hint="eastAsia" w:asciiTheme="minorEastAsia" w:hAnsiTheme="minorEastAsia" w:eastAsiaTheme="minorEastAsia" w:cstheme="minorEastAsia"/>
                <w:b/>
                <w:bCs/>
                <w:color w:val="000000"/>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p>
        </w:tc>
      </w:tr>
    </w:tbl>
    <w:p>
      <w:pPr>
        <w:spacing w:before="5" w:line="560" w:lineRule="atLeast"/>
        <w:rPr>
          <w:rFonts w:hint="eastAsia"/>
          <w:b/>
          <w:bCs/>
          <w:color w:val="000000"/>
          <w:sz w:val="24"/>
          <w:szCs w:val="24"/>
        </w:rPr>
      </w:pPr>
      <w:r>
        <w:rPr>
          <w:rFonts w:hint="eastAsia"/>
          <w:b/>
          <w:bCs/>
          <w:color w:val="000000"/>
          <w:sz w:val="24"/>
          <w:szCs w:val="24"/>
        </w:rPr>
        <w:t xml:space="preserve">投标人名称（盖章）：</w:t>
      </w:r>
      <w:r/>
    </w:p>
    <w:p>
      <w:pPr>
        <w:spacing w:before="5" w:line="560" w:lineRule="atLeast"/>
        <w:rPr>
          <w:rFonts w:hint="eastAsia"/>
          <w:b/>
          <w:bCs/>
          <w:color w:val="000000"/>
          <w:sz w:val="24"/>
          <w:szCs w:val="24"/>
        </w:rPr>
      </w:pPr>
      <w:r>
        <w:rPr>
          <w:rFonts w:hint="eastAsia"/>
          <w:b/>
          <w:bCs/>
          <w:color w:val="000000"/>
          <w:sz w:val="24"/>
          <w:szCs w:val="24"/>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r>
      <w:r/>
    </w:p>
    <w:p>
      <w:pPr>
        <w:spacing w:line="360" w:lineRule="auto"/>
        <w:rPr>
          <w:rFonts w:hint="eastAsia"/>
          <w:b/>
          <w:sz w:val="28"/>
          <w:szCs w:val="28"/>
        </w:rPr>
      </w:pPr>
      <w:r>
        <w:rPr>
          <w:rFonts w:hint="eastAsia"/>
          <w:b/>
          <w:sz w:val="28"/>
          <w:szCs w:val="28"/>
        </w:rPr>
        <w:t xml:space="preserve">十</w:t>
      </w:r>
      <w:r>
        <w:rPr>
          <w:rFonts w:hint="eastAsia"/>
          <w:b/>
          <w:sz w:val="28"/>
          <w:szCs w:val="28"/>
          <w:lang w:val="en-US" w:eastAsia="zh-CN"/>
        </w:rPr>
        <w:t xml:space="preserve">一</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000000"/>
          <w:sz w:val="24"/>
          <w:szCs w:val="24"/>
        </w:rPr>
        <w:t xml:space="preserve">项目编</w:t>
      </w:r>
      <w:r>
        <w:rPr>
          <w:rFonts w:hint="eastAsia" w:ascii="黑体" w:eastAsia="黑体"/>
          <w:bCs/>
          <w:color w:val="auto"/>
          <w:sz w:val="24"/>
          <w:szCs w:val="24"/>
        </w:rPr>
        <w:t xml:space="preserve">号：</w:t>
      </w:r>
      <w:r>
        <w:rPr>
          <w:rFonts w:hint="eastAsia" w:ascii="黑体" w:eastAsia="黑体"/>
          <w:bCs/>
          <w:color w:val="auto"/>
          <w:sz w:val="24"/>
          <w:szCs w:val="24"/>
          <w:lang w:eastAsia="zh-CN"/>
        </w:rPr>
        <w:t xml:space="preserve">JSZC-320214-JZCG-G2026-0012</w:t>
      </w:r>
      <w:r/>
    </w:p>
    <w:tbl>
      <w:tblPr>
        <w:tblStyle w:val="67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09389"/>
      <w:r/>
      <w:bookmarkEnd w:id="203"/>
      <w:r/>
      <w:bookmarkStart w:id="204" w:name="_Hlt26955066"/>
      <w:r/>
      <w:bookmarkEnd w:id="204"/>
      <w:r/>
      <w:bookmarkStart w:id="205" w:name="_Hlt26671374"/>
      <w:r/>
      <w:bookmarkEnd w:id="205"/>
      <w:r/>
      <w:bookmarkStart w:id="206" w:name="_格式2__法定代表人授权书"/>
      <w:r/>
      <w:bookmarkEnd w:id="206"/>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rPr>
        <w:rStyle w:val="713"/>
        <w:rFonts w:ascii="宋体" w:hAnsi="宋体"/>
      </w:rPr>
      <w:framePr w:wrap="around" w:vAnchor="text" w:hAnchor="margin" w:xAlign="center" w:y="1"/>
    </w:pPr>
    <w:r>
      <w:rPr>
        <w:rFonts w:ascii="宋体" w:hAnsi="宋体"/>
      </w:rPr>
      <w:fldChar w:fldCharType="begin"/>
    </w:r>
    <w:r>
      <w:rPr>
        <w:rStyle w:val="713"/>
        <w:rFonts w:ascii="宋体" w:hAnsi="宋体"/>
      </w:rPr>
      <w:instrText xml:space="preserve">PAGE  </w:instrText>
    </w:r>
    <w:r>
      <w:rPr>
        <w:rFonts w:ascii="宋体" w:hAnsi="宋体"/>
      </w:rPr>
      <w:fldChar w:fldCharType="separate"/>
    </w:r>
    <w:r>
      <w:rPr>
        <w:rStyle w:val="713"/>
        <w:rFonts w:ascii="宋体" w:hAnsi="宋体"/>
      </w:rPr>
      <w:t xml:space="preserve">５６</w:t>
    </w:r>
    <w:r>
      <w:rPr>
        <w:rFonts w:ascii="宋体" w:hAnsi="宋体"/>
      </w:rPr>
      <w:fldChar w:fldCharType="end"/>
    </w:r>
    <w:r/>
  </w:p>
  <w:p>
    <w:pPr>
      <w:pStyle w:val="695"/>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rPr>
        <w:rStyle w:val="713"/>
      </w:rPr>
      <w:framePr w:wrap="around" w:vAnchor="text" w:hAnchor="margin" w:xAlign="center" w:y="1"/>
    </w:pPr>
    <w:r>
      <w:fldChar w:fldCharType="begin"/>
    </w:r>
    <w:r>
      <w:rPr>
        <w:rStyle w:val="713"/>
      </w:rPr>
      <w:instrText xml:space="preserve">PAGE  </w:instrText>
    </w:r>
    <w:r>
      <w:fldChar w:fldCharType="separate"/>
    </w:r>
    <w:r>
      <w:rPr>
        <w:rStyle w:val="713"/>
      </w:rPr>
      <w:t xml:space="preserve">1</w:t>
    </w:r>
    <w:r>
      <w:fldChar w:fldCharType="end"/>
    </w:r>
    <w:r/>
  </w:p>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pStyle w:val="7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2"/>
      <w:isLgl w:val="false"/>
      <w:suff w:val="nothing"/>
      <w:lvlText w:val=""/>
      <w:lvlJc w:val="left"/>
      <w:pPr>
        <w:ind w:left="0" w:firstLine="0"/>
      </w:pPr>
      <w:rPr>
        <w:rFonts w:hint="eastAsia"/>
      </w:rPr>
    </w:lvl>
    <w:lvl w:ilvl="6">
      <w:start w:val="1"/>
      <w:numFmt w:val="none"/>
      <w:pStyle w:val="673"/>
      <w:isLgl w:val="false"/>
      <w:suff w:val="nothing"/>
      <w:lvlText w:val=""/>
      <w:lvlJc w:val="left"/>
      <w:pPr>
        <w:ind w:left="0" w:firstLine="0"/>
      </w:pPr>
      <w:rPr>
        <w:rFonts w:hint="eastAsia"/>
      </w:rPr>
    </w:lvl>
    <w:lvl w:ilvl="7">
      <w:start w:val="1"/>
      <w:numFmt w:val="none"/>
      <w:pStyle w:val="674"/>
      <w:isLgl w:val="false"/>
      <w:suff w:val="nothing"/>
      <w:lvlText w:val=""/>
      <w:lvlJc w:val="left"/>
      <w:pPr>
        <w:ind w:left="0" w:firstLine="0"/>
      </w:pPr>
      <w:rPr>
        <w:rFonts w:hint="eastAsia"/>
      </w:rPr>
    </w:lvl>
    <w:lvl w:ilvl="8">
      <w:start w:val="1"/>
      <w:numFmt w:val="none"/>
      <w:pStyle w:val="675"/>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67"/>
    <w:uiPriority w:val="9"/>
    <w:rPr>
      <w:rFonts w:ascii="Arial" w:hAnsi="Arial" w:eastAsia="Arial" w:cs="Arial"/>
      <w:sz w:val="40"/>
      <w:szCs w:val="40"/>
    </w:rPr>
  </w:style>
  <w:style w:type="character" w:styleId="15">
    <w:name w:val="Heading 2 Char"/>
    <w:basedOn w:val="676"/>
    <w:link w:val="668"/>
    <w:uiPriority w:val="9"/>
    <w:rPr>
      <w:rFonts w:ascii="Arial" w:hAnsi="Arial" w:eastAsia="Arial" w:cs="Arial"/>
      <w:sz w:val="34"/>
    </w:rPr>
  </w:style>
  <w:style w:type="character" w:styleId="17">
    <w:name w:val="Heading 3 Char"/>
    <w:basedOn w:val="676"/>
    <w:link w:val="669"/>
    <w:uiPriority w:val="9"/>
    <w:rPr>
      <w:rFonts w:ascii="Arial" w:hAnsi="Arial" w:eastAsia="Arial" w:cs="Arial"/>
      <w:sz w:val="30"/>
      <w:szCs w:val="30"/>
    </w:rPr>
  </w:style>
  <w:style w:type="character" w:styleId="19">
    <w:name w:val="Heading 4 Char"/>
    <w:basedOn w:val="676"/>
    <w:link w:val="670"/>
    <w:uiPriority w:val="9"/>
    <w:rPr>
      <w:rFonts w:ascii="Arial" w:hAnsi="Arial" w:eastAsia="Arial" w:cs="Arial"/>
      <w:b/>
      <w:bCs/>
      <w:sz w:val="26"/>
      <w:szCs w:val="26"/>
    </w:rPr>
  </w:style>
  <w:style w:type="character" w:styleId="21">
    <w:name w:val="Heading 5 Char"/>
    <w:basedOn w:val="676"/>
    <w:link w:val="671"/>
    <w:uiPriority w:val="9"/>
    <w:rPr>
      <w:rFonts w:ascii="Arial" w:hAnsi="Arial" w:eastAsia="Arial" w:cs="Arial"/>
      <w:b/>
      <w:bCs/>
      <w:sz w:val="24"/>
      <w:szCs w:val="24"/>
    </w:rPr>
  </w:style>
  <w:style w:type="character" w:styleId="23">
    <w:name w:val="Heading 6 Char"/>
    <w:basedOn w:val="676"/>
    <w:link w:val="672"/>
    <w:uiPriority w:val="9"/>
    <w:rPr>
      <w:rFonts w:ascii="Arial" w:hAnsi="Arial" w:eastAsia="Arial" w:cs="Arial"/>
      <w:b/>
      <w:bCs/>
      <w:sz w:val="22"/>
      <w:szCs w:val="22"/>
    </w:rPr>
  </w:style>
  <w:style w:type="character" w:styleId="25">
    <w:name w:val="Heading 7 Char"/>
    <w:basedOn w:val="676"/>
    <w:link w:val="673"/>
    <w:uiPriority w:val="9"/>
    <w:rPr>
      <w:rFonts w:ascii="Arial" w:hAnsi="Arial" w:eastAsia="Arial" w:cs="Arial"/>
      <w:b/>
      <w:bCs/>
      <w:i/>
      <w:iCs/>
      <w:sz w:val="22"/>
      <w:szCs w:val="22"/>
    </w:rPr>
  </w:style>
  <w:style w:type="character" w:styleId="27">
    <w:name w:val="Heading 8 Char"/>
    <w:basedOn w:val="676"/>
    <w:link w:val="674"/>
    <w:uiPriority w:val="9"/>
    <w:rPr>
      <w:rFonts w:ascii="Arial" w:hAnsi="Arial" w:eastAsia="Arial" w:cs="Arial"/>
      <w:i/>
      <w:iCs/>
      <w:sz w:val="22"/>
      <w:szCs w:val="22"/>
    </w:rPr>
  </w:style>
  <w:style w:type="character" w:styleId="29">
    <w:name w:val="Heading 9 Char"/>
    <w:basedOn w:val="676"/>
    <w:link w:val="675"/>
    <w:uiPriority w:val="9"/>
    <w:rPr>
      <w:rFonts w:ascii="Arial" w:hAnsi="Arial" w:eastAsia="Arial" w:cs="Arial"/>
      <w:i/>
      <w:iCs/>
      <w:sz w:val="21"/>
      <w:szCs w:val="21"/>
    </w:rPr>
  </w:style>
  <w:style w:type="paragraph" w:styleId="33">
    <w:name w:val="Title"/>
    <w:basedOn w:val="666"/>
    <w:next w:val="666"/>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96"/>
    <w:uiPriority w:val="99"/>
  </w:style>
  <w:style w:type="character" w:styleId="44">
    <w:name w:val="Footer Char"/>
    <w:basedOn w:val="676"/>
    <w:link w:val="695"/>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695"/>
    <w:uiPriority w:val="99"/>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9">
    <w:name w:val="TOC Heading"/>
    <w:uiPriority w:val="39"/>
    <w:unhideWhenUsed/>
  </w:style>
  <w:style w:type="paragraph" w:styleId="66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7">
    <w:name w:val="Heading 1"/>
    <w:basedOn w:val="666"/>
    <w:next w:val="666"/>
    <w:link w:val="719"/>
    <w:uiPriority w:val="0"/>
    <w:qFormat/>
    <w:pPr>
      <w:jc w:val="center"/>
      <w:keepNext/>
      <w:outlineLvl w:val="0"/>
    </w:pPr>
    <w:rPr>
      <w:rFonts w:ascii="楷体_GB2312" w:eastAsia="楷体_GB2312"/>
      <w:sz w:val="28"/>
      <w:szCs w:val="28"/>
    </w:rPr>
  </w:style>
  <w:style w:type="paragraph" w:styleId="668">
    <w:name w:val="Heading 2"/>
    <w:basedOn w:val="666"/>
    <w:next w:val="678"/>
    <w:link w:val="720"/>
    <w:uiPriority w:val="0"/>
    <w:qFormat/>
    <w:pPr>
      <w:jc w:val="center"/>
      <w:keepLines/>
      <w:keepNext/>
      <w:spacing w:before="260" w:after="260" w:line="416" w:lineRule="auto"/>
      <w:outlineLvl w:val="1"/>
    </w:pPr>
    <w:rPr>
      <w:rFonts w:ascii="Arial" w:hAnsi="Arial" w:eastAsia="幼圆"/>
      <w:b/>
      <w:bCs/>
      <w:sz w:val="44"/>
      <w:szCs w:val="44"/>
    </w:rPr>
  </w:style>
  <w:style w:type="paragraph" w:styleId="669">
    <w:name w:val="Heading 3"/>
    <w:basedOn w:val="666"/>
    <w:next w:val="678"/>
    <w:link w:val="722"/>
    <w:uiPriority w:val="0"/>
    <w:qFormat/>
    <w:pPr>
      <w:keepLines/>
      <w:keepNext/>
      <w:spacing w:before="260" w:after="260" w:line="416" w:lineRule="auto"/>
      <w:outlineLvl w:val="2"/>
    </w:pPr>
    <w:rPr>
      <w:b/>
      <w:bCs/>
      <w:sz w:val="32"/>
      <w:szCs w:val="32"/>
    </w:rPr>
  </w:style>
  <w:style w:type="paragraph" w:styleId="670">
    <w:name w:val="Heading 4"/>
    <w:basedOn w:val="666"/>
    <w:next w:val="678"/>
    <w:link w:val="723"/>
    <w:uiPriority w:val="0"/>
    <w:qFormat/>
    <w:pPr>
      <w:keepLines/>
      <w:keepNext/>
      <w:spacing w:before="280" w:after="290" w:line="376" w:lineRule="auto"/>
      <w:outlineLvl w:val="3"/>
    </w:pPr>
    <w:rPr>
      <w:rFonts w:ascii="Arial" w:hAnsi="Arial" w:eastAsia="黑体"/>
      <w:b/>
      <w:bCs/>
      <w:sz w:val="28"/>
      <w:szCs w:val="28"/>
    </w:rPr>
  </w:style>
  <w:style w:type="paragraph" w:styleId="671">
    <w:name w:val="Heading 5"/>
    <w:basedOn w:val="666"/>
    <w:next w:val="678"/>
    <w:link w:val="724"/>
    <w:uiPriority w:val="0"/>
    <w:qFormat/>
    <w:pPr>
      <w:keepNext/>
      <w:outlineLvl w:val="4"/>
    </w:pPr>
    <w:rPr>
      <w:rFonts w:ascii="宋体"/>
      <w:color w:val="000000"/>
      <w:sz w:val="28"/>
      <w:szCs w:val="28"/>
    </w:rPr>
  </w:style>
  <w:style w:type="paragraph" w:styleId="672">
    <w:name w:val="Heading 6"/>
    <w:basedOn w:val="666"/>
    <w:next w:val="666"/>
    <w:link w:val="7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3">
    <w:name w:val="Heading 7"/>
    <w:basedOn w:val="666"/>
    <w:next w:val="666"/>
    <w:link w:val="726"/>
    <w:uiPriority w:val="0"/>
    <w:qFormat/>
    <w:pPr>
      <w:numPr>
        <w:ilvl w:val="6"/>
        <w:numId w:val="1"/>
      </w:numPr>
      <w:keepLines/>
      <w:keepNext/>
      <w:spacing w:before="240" w:after="64" w:line="320" w:lineRule="auto"/>
      <w:outlineLvl w:val="6"/>
    </w:pPr>
    <w:rPr>
      <w:b/>
      <w:bCs/>
      <w:sz w:val="24"/>
      <w:szCs w:val="24"/>
    </w:rPr>
  </w:style>
  <w:style w:type="paragraph" w:styleId="674">
    <w:name w:val="Heading 8"/>
    <w:basedOn w:val="666"/>
    <w:next w:val="666"/>
    <w:link w:val="7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5">
    <w:name w:val="Heading 9"/>
    <w:basedOn w:val="666"/>
    <w:next w:val="666"/>
    <w:link w:val="728"/>
    <w:uiPriority w:val="0"/>
    <w:qFormat/>
    <w:pPr>
      <w:numPr>
        <w:ilvl w:val="8"/>
        <w:numId w:val="1"/>
      </w:numPr>
      <w:keepLines/>
      <w:keepNext/>
      <w:spacing w:before="240" w:after="64" w:line="320" w:lineRule="auto"/>
      <w:outlineLvl w:val="8"/>
    </w:pPr>
    <w:rPr>
      <w:rFonts w:ascii="Arial" w:hAnsi="Arial" w:eastAsia="黑体"/>
      <w:sz w:val="20"/>
    </w:rPr>
  </w:style>
  <w:style w:type="character" w:styleId="676" w:default="1">
    <w:name w:val="Default Paragraph Font"/>
    <w:uiPriority w:val="1"/>
    <w:unhideWhenUsed/>
    <w:qFormat/>
  </w:style>
  <w:style w:type="table" w:styleId="677" w:default="1">
    <w:name w:val="Normal Table"/>
    <w:uiPriority w:val="99"/>
    <w:unhideWhenUsed/>
    <w:qFormat/>
    <w:tblPr>
      <w:tblCellMar>
        <w:left w:w="108" w:type="dxa"/>
        <w:top w:w="0" w:type="dxa"/>
        <w:right w:w="108" w:type="dxa"/>
        <w:bottom w:w="0" w:type="dxa"/>
      </w:tblCellMar>
    </w:tblPr>
  </w:style>
  <w:style w:type="paragraph" w:styleId="678">
    <w:name w:val="Normal Indent"/>
    <w:basedOn w:val="666"/>
    <w:link w:val="721"/>
    <w:uiPriority w:val="0"/>
    <w:qFormat/>
    <w:pPr>
      <w:ind w:firstLine="420"/>
    </w:pPr>
    <w:rPr>
      <w:sz w:val="20"/>
    </w:rPr>
  </w:style>
  <w:style w:type="paragraph" w:styleId="679">
    <w:name w:val="List 3"/>
    <w:basedOn w:val="666"/>
    <w:uiPriority w:val="0"/>
    <w:qFormat/>
    <w:pPr>
      <w:ind w:left="100" w:hanging="200"/>
    </w:pPr>
  </w:style>
  <w:style w:type="paragraph" w:styleId="680">
    <w:name w:val="toc 7"/>
    <w:basedOn w:val="666"/>
    <w:next w:val="666"/>
    <w:uiPriority w:val="0"/>
    <w:semiHidden/>
    <w:qFormat/>
    <w:pPr>
      <w:ind w:left="1260"/>
      <w:jc w:val="left"/>
    </w:pPr>
  </w:style>
  <w:style w:type="paragraph" w:styleId="681">
    <w:name w:val="Document Map"/>
    <w:basedOn w:val="666"/>
    <w:link w:val="729"/>
    <w:uiPriority w:val="0"/>
    <w:semiHidden/>
    <w:qFormat/>
    <w:pPr>
      <w:shd w:val="clear" w:color="auto" w:fill="000080"/>
    </w:pPr>
    <w:rPr>
      <w:sz w:val="20"/>
    </w:rPr>
  </w:style>
  <w:style w:type="paragraph" w:styleId="682">
    <w:name w:val="annotation text"/>
    <w:basedOn w:val="666"/>
    <w:link w:val="730"/>
    <w:uiPriority w:val="0"/>
    <w:semiHidden/>
    <w:qFormat/>
    <w:pPr>
      <w:jc w:val="left"/>
    </w:pPr>
    <w:rPr>
      <w:sz w:val="20"/>
    </w:rPr>
  </w:style>
  <w:style w:type="paragraph" w:styleId="683">
    <w:name w:val="Body Text 3"/>
    <w:basedOn w:val="666"/>
    <w:link w:val="731"/>
    <w:uiPriority w:val="0"/>
    <w:qFormat/>
    <w:rPr>
      <w:rFonts w:ascii="仿宋_GB2312" w:hAnsi="Arial" w:eastAsia="仿宋_GB2312"/>
      <w:sz w:val="32"/>
      <w:szCs w:val="32"/>
    </w:rPr>
  </w:style>
  <w:style w:type="paragraph" w:styleId="684">
    <w:name w:val="Body Text"/>
    <w:basedOn w:val="666"/>
    <w:link w:val="732"/>
    <w:uiPriority w:val="0"/>
    <w:qFormat/>
    <w:rPr>
      <w:rFonts w:ascii="楷体_GB2312" w:hAnsi="Arial" w:eastAsia="楷体_GB2312"/>
      <w:sz w:val="28"/>
      <w:szCs w:val="28"/>
    </w:rPr>
  </w:style>
  <w:style w:type="paragraph" w:styleId="685">
    <w:name w:val="Body Text Indent"/>
    <w:basedOn w:val="666"/>
    <w:link w:val="733"/>
    <w:uiPriority w:val="0"/>
    <w:qFormat/>
    <w:pPr>
      <w:ind w:firstLine="645"/>
    </w:pPr>
    <w:rPr>
      <w:rFonts w:ascii="楷体_GB2312" w:eastAsia="楷体_GB2312"/>
      <w:sz w:val="32"/>
      <w:szCs w:val="32"/>
    </w:rPr>
  </w:style>
  <w:style w:type="paragraph" w:styleId="686">
    <w:name w:val="List 2"/>
    <w:basedOn w:val="666"/>
    <w:uiPriority w:val="0"/>
    <w:qFormat/>
    <w:pPr>
      <w:ind w:left="100" w:hanging="200"/>
    </w:pPr>
  </w:style>
  <w:style w:type="paragraph" w:styleId="687">
    <w:name w:val="index 4"/>
    <w:basedOn w:val="666"/>
    <w:next w:val="666"/>
    <w:uiPriority w:val="99"/>
    <w:unhideWhenUsed/>
    <w:qFormat/>
    <w:pPr>
      <w:ind w:left="600"/>
    </w:pPr>
  </w:style>
  <w:style w:type="paragraph" w:styleId="688">
    <w:name w:val="toc 5"/>
    <w:basedOn w:val="666"/>
    <w:next w:val="666"/>
    <w:uiPriority w:val="0"/>
    <w:semiHidden/>
    <w:qFormat/>
    <w:pPr>
      <w:ind w:left="840"/>
      <w:jc w:val="left"/>
    </w:pPr>
  </w:style>
  <w:style w:type="paragraph" w:styleId="689">
    <w:name w:val="toc 3"/>
    <w:basedOn w:val="666"/>
    <w:next w:val="666"/>
    <w:uiPriority w:val="0"/>
    <w:semiHidden/>
    <w:qFormat/>
    <w:pPr>
      <w:ind w:left="420"/>
      <w:jc w:val="left"/>
    </w:pPr>
    <w:rPr>
      <w:i/>
      <w:iCs/>
      <w:szCs w:val="24"/>
    </w:rPr>
  </w:style>
  <w:style w:type="paragraph" w:styleId="690">
    <w:name w:val="Plain Text"/>
    <w:basedOn w:val="666"/>
    <w:link w:val="734"/>
    <w:uiPriority w:val="0"/>
    <w:qFormat/>
    <w:rPr>
      <w:rFonts w:ascii="宋体" w:hAnsi="Courier New"/>
      <w:sz w:val="20"/>
    </w:rPr>
  </w:style>
  <w:style w:type="paragraph" w:styleId="691">
    <w:name w:val="toc 8"/>
    <w:basedOn w:val="666"/>
    <w:next w:val="666"/>
    <w:uiPriority w:val="0"/>
    <w:semiHidden/>
    <w:qFormat/>
    <w:pPr>
      <w:ind w:left="1470"/>
      <w:jc w:val="left"/>
    </w:pPr>
  </w:style>
  <w:style w:type="paragraph" w:styleId="692">
    <w:name w:val="Date"/>
    <w:basedOn w:val="666"/>
    <w:next w:val="666"/>
    <w:link w:val="735"/>
    <w:uiPriority w:val="0"/>
    <w:qFormat/>
    <w:rPr>
      <w:sz w:val="24"/>
      <w:szCs w:val="24"/>
    </w:rPr>
  </w:style>
  <w:style w:type="paragraph" w:styleId="693">
    <w:name w:val="Body Text Indent 2"/>
    <w:basedOn w:val="666"/>
    <w:link w:val="736"/>
    <w:uiPriority w:val="0"/>
    <w:qFormat/>
    <w:pPr>
      <w:ind w:left="630" w:firstLine="645"/>
    </w:pPr>
    <w:rPr>
      <w:rFonts w:ascii="Arial" w:hAnsi="Arial" w:eastAsia="仿宋_GB2312"/>
      <w:sz w:val="32"/>
      <w:szCs w:val="32"/>
    </w:rPr>
  </w:style>
  <w:style w:type="paragraph" w:styleId="694">
    <w:name w:val="Balloon Text"/>
    <w:basedOn w:val="666"/>
    <w:link w:val="737"/>
    <w:uiPriority w:val="0"/>
    <w:semiHidden/>
    <w:qFormat/>
    <w:rPr>
      <w:sz w:val="18"/>
      <w:szCs w:val="18"/>
    </w:rPr>
  </w:style>
  <w:style w:type="paragraph" w:styleId="695">
    <w:name w:val="Footer"/>
    <w:basedOn w:val="666"/>
    <w:link w:val="738"/>
    <w:uiPriority w:val="0"/>
    <w:qFormat/>
    <w:pPr>
      <w:jc w:val="left"/>
      <w:tabs>
        <w:tab w:val="center" w:pos="4153" w:leader="none"/>
        <w:tab w:val="right" w:pos="8306" w:leader="none"/>
      </w:tabs>
    </w:pPr>
    <w:rPr>
      <w:sz w:val="18"/>
      <w:szCs w:val="18"/>
    </w:rPr>
  </w:style>
  <w:style w:type="paragraph" w:styleId="696">
    <w:name w:val="Header"/>
    <w:basedOn w:val="666"/>
    <w:link w:val="739"/>
    <w:uiPriority w:val="99"/>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698">
    <w:name w:val="toc 4"/>
    <w:basedOn w:val="666"/>
    <w:next w:val="666"/>
    <w:uiPriority w:val="0"/>
    <w:semiHidden/>
    <w:qFormat/>
    <w:pPr>
      <w:ind w:left="630"/>
      <w:jc w:val="left"/>
    </w:pPr>
  </w:style>
  <w:style w:type="paragraph" w:styleId="699">
    <w:name w:val="List"/>
    <w:basedOn w:val="666"/>
    <w:uiPriority w:val="0"/>
    <w:qFormat/>
    <w:pPr>
      <w:ind w:left="200" w:hanging="200"/>
    </w:pPr>
  </w:style>
  <w:style w:type="paragraph" w:styleId="700">
    <w:name w:val="toc 6"/>
    <w:basedOn w:val="666"/>
    <w:next w:val="666"/>
    <w:uiPriority w:val="0"/>
    <w:semiHidden/>
    <w:qFormat/>
    <w:pPr>
      <w:ind w:left="1050"/>
      <w:jc w:val="left"/>
    </w:pPr>
  </w:style>
  <w:style w:type="paragraph" w:styleId="701">
    <w:name w:val="Body Text Indent 3"/>
    <w:basedOn w:val="666"/>
    <w:link w:val="740"/>
    <w:uiPriority w:val="0"/>
    <w:qFormat/>
    <w:pPr>
      <w:ind w:left="645" w:firstLine="645"/>
    </w:pPr>
    <w:rPr>
      <w:rFonts w:ascii="Arial" w:hAnsi="Arial" w:eastAsia="仿宋_GB2312"/>
      <w:color w:val="ffff00"/>
      <w:sz w:val="32"/>
      <w:szCs w:val="32"/>
    </w:rPr>
  </w:style>
  <w:style w:type="paragraph" w:styleId="702">
    <w:name w:val="table of figures"/>
    <w:basedOn w:val="666"/>
    <w:next w:val="666"/>
    <w:uiPriority w:val="0"/>
    <w:semiHidden/>
    <w:qFormat/>
    <w:pPr>
      <w:ind w:left="840" w:hanging="420"/>
    </w:pPr>
  </w:style>
  <w:style w:type="paragraph" w:styleId="703">
    <w:name w:val="toc 2"/>
    <w:basedOn w:val="666"/>
    <w:next w:val="666"/>
    <w:uiPriority w:val="0"/>
    <w:semiHidden/>
    <w:qFormat/>
    <w:pPr>
      <w:ind w:left="210"/>
      <w:jc w:val="left"/>
    </w:pPr>
    <w:rPr>
      <w:smallCaps/>
      <w:szCs w:val="24"/>
    </w:rPr>
  </w:style>
  <w:style w:type="paragraph" w:styleId="704">
    <w:name w:val="toc 9"/>
    <w:basedOn w:val="666"/>
    <w:next w:val="666"/>
    <w:uiPriority w:val="0"/>
    <w:semiHidden/>
    <w:qFormat/>
    <w:pPr>
      <w:ind w:left="1680"/>
      <w:jc w:val="left"/>
    </w:pPr>
  </w:style>
  <w:style w:type="paragraph" w:styleId="705">
    <w:name w:val="Body Text 2"/>
    <w:basedOn w:val="666"/>
    <w:link w:val="741"/>
    <w:uiPriority w:val="0"/>
    <w:qFormat/>
    <w:pPr>
      <w:jc w:val="center"/>
      <w:widowControl/>
    </w:pPr>
    <w:rPr>
      <w:rFonts w:ascii="楷体_GB2312" w:eastAsia="楷体_GB2312"/>
      <w:sz w:val="28"/>
      <w:szCs w:val="28"/>
    </w:rPr>
  </w:style>
  <w:style w:type="paragraph" w:styleId="706">
    <w:name w:val="Normal (Web)"/>
    <w:basedOn w:val="666"/>
    <w:uiPriority w:val="99"/>
    <w:qFormat/>
    <w:pPr>
      <w:jc w:val="left"/>
      <w:spacing w:before="100" w:beforeAutospacing="1" w:after="100" w:afterAutospacing="1"/>
      <w:widowControl/>
    </w:pPr>
    <w:rPr>
      <w:rFonts w:ascii="宋体" w:hAnsi="宋体" w:cs="宋体"/>
      <w:sz w:val="24"/>
      <w:szCs w:val="24"/>
    </w:rPr>
  </w:style>
  <w:style w:type="paragraph" w:styleId="707">
    <w:name w:val="index 1"/>
    <w:basedOn w:val="666"/>
    <w:next w:val="666"/>
    <w:uiPriority w:val="0"/>
    <w:semiHidden/>
    <w:qFormat/>
    <w:pPr>
      <w:spacing w:line="240" w:lineRule="atLeast"/>
    </w:pPr>
    <w:rPr>
      <w:b/>
      <w:bCs/>
    </w:rPr>
  </w:style>
  <w:style w:type="paragraph" w:styleId="708">
    <w:name w:val="annotation subject"/>
    <w:basedOn w:val="682"/>
    <w:next w:val="682"/>
    <w:link w:val="742"/>
    <w:uiPriority w:val="0"/>
    <w:semiHidden/>
    <w:qFormat/>
    <w:rPr>
      <w:b/>
      <w:bCs/>
    </w:rPr>
  </w:style>
  <w:style w:type="paragraph" w:styleId="709">
    <w:name w:val="Body Text First Indent"/>
    <w:basedOn w:val="666"/>
    <w:link w:val="743"/>
    <w:uiPriority w:val="0"/>
    <w:qFormat/>
    <w:pPr>
      <w:ind w:firstLine="200"/>
      <w:spacing w:line="360" w:lineRule="auto"/>
    </w:pPr>
    <w:rPr>
      <w:rFonts w:ascii="仿宋_GB2312" w:eastAsia="仿宋_GB2312"/>
      <w:sz w:val="30"/>
      <w:szCs w:val="30"/>
    </w:rPr>
  </w:style>
  <w:style w:type="paragraph" w:styleId="710">
    <w:name w:val="Body Text First Indent 2"/>
    <w:basedOn w:val="685"/>
    <w:link w:val="744"/>
    <w:uiPriority w:val="0"/>
    <w:qFormat/>
    <w:pPr>
      <w:ind w:firstLine="420"/>
      <w:spacing w:line="360" w:lineRule="auto"/>
    </w:pPr>
    <w:rPr>
      <w:rFonts w:ascii="宋体" w:hAnsi="宋体" w:eastAsia="宋体"/>
      <w:szCs w:val="20"/>
    </w:rPr>
  </w:style>
  <w:style w:type="table" w:styleId="711">
    <w:name w:val="Table Grid"/>
    <w:basedOn w:val="67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Strong"/>
    <w:uiPriority w:val="0"/>
    <w:qFormat/>
    <w:rPr>
      <w:b/>
      <w:bCs/>
    </w:rPr>
  </w:style>
  <w:style w:type="character" w:styleId="713">
    <w:name w:val="page number"/>
    <w:uiPriority w:val="0"/>
    <w:qFormat/>
  </w:style>
  <w:style w:type="character" w:styleId="714">
    <w:name w:val="FollowedHyperlink"/>
    <w:uiPriority w:val="0"/>
    <w:qFormat/>
    <w:rPr>
      <w:color w:val="800080"/>
      <w:u w:val="single"/>
    </w:rPr>
  </w:style>
  <w:style w:type="character" w:styleId="715">
    <w:name w:val="HTML Typewriter"/>
    <w:uiPriority w:val="99"/>
    <w:qFormat/>
    <w:rPr>
      <w:rFonts w:ascii="宋体" w:hAnsi="宋体" w:eastAsia="宋体" w:cs="宋体"/>
      <w:sz w:val="24"/>
      <w:szCs w:val="24"/>
    </w:rPr>
  </w:style>
  <w:style w:type="character" w:styleId="716">
    <w:name w:val="Hyperlink"/>
    <w:uiPriority w:val="0"/>
    <w:qFormat/>
    <w:rPr>
      <w:color w:val="0000ff"/>
      <w:u w:val="single"/>
    </w:rPr>
  </w:style>
  <w:style w:type="character" w:styleId="717">
    <w:name w:val="annotation reference"/>
    <w:uiPriority w:val="0"/>
    <w:semiHidden/>
    <w:qFormat/>
    <w:rPr>
      <w:sz w:val="21"/>
      <w:szCs w:val="21"/>
    </w:rPr>
  </w:style>
  <w:style w:type="paragraph" w:styleId="718" w:customStyle="1">
    <w:name w:val="正文文本11"/>
    <w:basedOn w:val="666"/>
    <w:uiPriority w:val="0"/>
    <w:qFormat/>
    <w:rPr>
      <w:sz w:val="18"/>
      <w:szCs w:val="20"/>
    </w:rPr>
  </w:style>
  <w:style w:type="character" w:styleId="719" w:customStyle="1">
    <w:name w:val="标题 1 Char"/>
    <w:link w:val="667"/>
    <w:uiPriority w:val="0"/>
    <w:qFormat/>
    <w:rPr>
      <w:rFonts w:ascii="楷体_GB2312" w:hAnsi="Times New Roman" w:eastAsia="楷体_GB2312" w:cs="Times New Roman"/>
      <w:sz w:val="28"/>
      <w:szCs w:val="28"/>
    </w:rPr>
  </w:style>
  <w:style w:type="character" w:styleId="720" w:customStyle="1">
    <w:name w:val="标题 2 Char"/>
    <w:link w:val="668"/>
    <w:uiPriority w:val="0"/>
    <w:qFormat/>
    <w:rPr>
      <w:rFonts w:ascii="Arial" w:hAnsi="Arial" w:eastAsia="幼圆" w:cs="Arial"/>
      <w:b/>
      <w:bCs/>
      <w:sz w:val="44"/>
      <w:szCs w:val="44"/>
    </w:rPr>
  </w:style>
  <w:style w:type="character" w:styleId="721" w:customStyle="1">
    <w:name w:val="正文缩进 Char"/>
    <w:link w:val="678"/>
    <w:uiPriority w:val="0"/>
    <w:qFormat/>
    <w:rPr>
      <w:rFonts w:ascii="Times New Roman" w:hAnsi="Times New Roman" w:eastAsia="宋体" w:cs="Times New Roman"/>
      <w:szCs w:val="21"/>
    </w:rPr>
  </w:style>
  <w:style w:type="character" w:styleId="722" w:customStyle="1">
    <w:name w:val="标题 3 Char"/>
    <w:link w:val="669"/>
    <w:uiPriority w:val="0"/>
    <w:qFormat/>
    <w:rPr>
      <w:rFonts w:ascii="Times New Roman" w:hAnsi="Times New Roman" w:eastAsia="宋体" w:cs="Times New Roman"/>
      <w:b/>
      <w:bCs/>
      <w:sz w:val="32"/>
      <w:szCs w:val="32"/>
    </w:rPr>
  </w:style>
  <w:style w:type="character" w:styleId="723" w:customStyle="1">
    <w:name w:val="标题 4 Char"/>
    <w:link w:val="670"/>
    <w:uiPriority w:val="0"/>
    <w:qFormat/>
    <w:rPr>
      <w:rFonts w:ascii="Arial" w:hAnsi="Arial" w:eastAsia="黑体" w:cs="Arial"/>
      <w:b/>
      <w:bCs/>
      <w:sz w:val="28"/>
      <w:szCs w:val="28"/>
    </w:rPr>
  </w:style>
  <w:style w:type="character" w:styleId="724" w:customStyle="1">
    <w:name w:val="标题 5 Char"/>
    <w:link w:val="671"/>
    <w:uiPriority w:val="0"/>
    <w:qFormat/>
    <w:rPr>
      <w:rFonts w:ascii="宋体" w:hAnsi="Times New Roman" w:eastAsia="宋体" w:cs="Times New Roman"/>
      <w:color w:val="000000"/>
      <w:sz w:val="28"/>
      <w:szCs w:val="28"/>
    </w:rPr>
  </w:style>
  <w:style w:type="character" w:styleId="725" w:customStyle="1">
    <w:name w:val="标题 6 Char"/>
    <w:link w:val="672"/>
    <w:uiPriority w:val="0"/>
    <w:qFormat/>
    <w:rPr>
      <w:rFonts w:ascii="Arial" w:hAnsi="Arial" w:eastAsia="黑体" w:cs="Times New Roman"/>
      <w:b/>
      <w:bCs/>
      <w:sz w:val="24"/>
      <w:szCs w:val="24"/>
    </w:rPr>
  </w:style>
  <w:style w:type="character" w:styleId="726" w:customStyle="1">
    <w:name w:val="标题 7 Char"/>
    <w:link w:val="673"/>
    <w:uiPriority w:val="0"/>
    <w:qFormat/>
    <w:rPr>
      <w:rFonts w:ascii="Times New Roman" w:hAnsi="Times New Roman" w:eastAsia="宋体" w:cs="Times New Roman"/>
      <w:b/>
      <w:bCs/>
      <w:sz w:val="24"/>
      <w:szCs w:val="24"/>
    </w:rPr>
  </w:style>
  <w:style w:type="character" w:styleId="727" w:customStyle="1">
    <w:name w:val="标题 8 Char"/>
    <w:link w:val="674"/>
    <w:uiPriority w:val="0"/>
    <w:qFormat/>
    <w:rPr>
      <w:rFonts w:ascii="Arial" w:hAnsi="Arial" w:eastAsia="黑体" w:cs="Times New Roman"/>
      <w:sz w:val="24"/>
      <w:szCs w:val="24"/>
    </w:rPr>
  </w:style>
  <w:style w:type="character" w:styleId="728" w:customStyle="1">
    <w:name w:val="标题 9 Char"/>
    <w:link w:val="675"/>
    <w:uiPriority w:val="0"/>
    <w:qFormat/>
    <w:rPr>
      <w:rFonts w:ascii="Arial" w:hAnsi="Arial" w:eastAsia="黑体" w:cs="Times New Roman"/>
      <w:szCs w:val="21"/>
    </w:rPr>
  </w:style>
  <w:style w:type="character" w:styleId="729" w:customStyle="1">
    <w:name w:val="文档结构图 Char"/>
    <w:link w:val="681"/>
    <w:uiPriority w:val="0"/>
    <w:semiHidden/>
    <w:qFormat/>
    <w:rPr>
      <w:rFonts w:ascii="Times New Roman" w:hAnsi="Times New Roman" w:eastAsia="宋体" w:cs="Times New Roman"/>
      <w:szCs w:val="21"/>
      <w:shd w:val="clear" w:color="auto" w:fill="000080"/>
    </w:rPr>
  </w:style>
  <w:style w:type="character" w:styleId="730" w:customStyle="1">
    <w:name w:val="批注文字 Char"/>
    <w:link w:val="682"/>
    <w:uiPriority w:val="0"/>
    <w:semiHidden/>
    <w:qFormat/>
    <w:rPr>
      <w:rFonts w:ascii="Times New Roman" w:hAnsi="Times New Roman" w:eastAsia="宋体" w:cs="Times New Roman"/>
      <w:szCs w:val="21"/>
    </w:rPr>
  </w:style>
  <w:style w:type="character" w:styleId="731" w:customStyle="1">
    <w:name w:val="正文文本 3 Char"/>
    <w:link w:val="683"/>
    <w:uiPriority w:val="0"/>
    <w:qFormat/>
    <w:rPr>
      <w:rFonts w:ascii="仿宋_GB2312" w:hAnsi="Arial" w:eastAsia="仿宋_GB2312" w:cs="Times New Roman"/>
      <w:sz w:val="32"/>
      <w:szCs w:val="32"/>
    </w:rPr>
  </w:style>
  <w:style w:type="character" w:styleId="732" w:customStyle="1">
    <w:name w:val="正文文本 Char"/>
    <w:link w:val="684"/>
    <w:uiPriority w:val="0"/>
    <w:qFormat/>
    <w:rPr>
      <w:rFonts w:ascii="楷体_GB2312" w:hAnsi="Arial" w:eastAsia="楷体_GB2312" w:cs="Times New Roman"/>
      <w:sz w:val="28"/>
      <w:szCs w:val="28"/>
    </w:rPr>
  </w:style>
  <w:style w:type="character" w:styleId="733" w:customStyle="1">
    <w:name w:val="正文文本缩进 Char"/>
    <w:link w:val="685"/>
    <w:uiPriority w:val="0"/>
    <w:qFormat/>
    <w:rPr>
      <w:rFonts w:ascii="楷体_GB2312" w:hAnsi="Times New Roman" w:eastAsia="楷体_GB2312" w:cs="Times New Roman"/>
      <w:sz w:val="32"/>
      <w:szCs w:val="32"/>
    </w:rPr>
  </w:style>
  <w:style w:type="character" w:styleId="734" w:customStyle="1">
    <w:name w:val="纯文本 Char"/>
    <w:link w:val="690"/>
    <w:uiPriority w:val="0"/>
    <w:qFormat/>
    <w:rPr>
      <w:rFonts w:ascii="宋体" w:hAnsi="Courier New" w:eastAsia="宋体" w:cs="Courier New"/>
      <w:szCs w:val="21"/>
    </w:rPr>
  </w:style>
  <w:style w:type="character" w:styleId="735" w:customStyle="1">
    <w:name w:val="日期 Char"/>
    <w:link w:val="692"/>
    <w:uiPriority w:val="0"/>
    <w:qFormat/>
    <w:rPr>
      <w:rFonts w:ascii="Times New Roman" w:hAnsi="Times New Roman" w:eastAsia="宋体" w:cs="Times New Roman"/>
      <w:sz w:val="24"/>
      <w:szCs w:val="24"/>
    </w:rPr>
  </w:style>
  <w:style w:type="character" w:styleId="736" w:customStyle="1">
    <w:name w:val="正文文本缩进 2 Char"/>
    <w:link w:val="693"/>
    <w:uiPriority w:val="0"/>
    <w:qFormat/>
    <w:rPr>
      <w:rFonts w:ascii="Arial" w:hAnsi="Arial" w:eastAsia="仿宋_GB2312" w:cs="Arial"/>
      <w:sz w:val="32"/>
      <w:szCs w:val="32"/>
    </w:rPr>
  </w:style>
  <w:style w:type="character" w:styleId="737" w:customStyle="1">
    <w:name w:val="批注框文本 Char"/>
    <w:link w:val="694"/>
    <w:uiPriority w:val="0"/>
    <w:semiHidden/>
    <w:qFormat/>
    <w:rPr>
      <w:rFonts w:ascii="Times New Roman" w:hAnsi="Times New Roman" w:eastAsia="宋体" w:cs="Times New Roman"/>
      <w:sz w:val="18"/>
      <w:szCs w:val="18"/>
    </w:rPr>
  </w:style>
  <w:style w:type="character" w:styleId="738" w:customStyle="1">
    <w:name w:val="页脚 Char"/>
    <w:link w:val="695"/>
    <w:uiPriority w:val="0"/>
    <w:qFormat/>
    <w:rPr>
      <w:rFonts w:ascii="Times New Roman" w:hAnsi="Times New Roman" w:eastAsia="宋体" w:cs="Times New Roman"/>
      <w:sz w:val="18"/>
      <w:szCs w:val="18"/>
    </w:rPr>
  </w:style>
  <w:style w:type="character" w:styleId="739" w:customStyle="1">
    <w:name w:val="页眉 Char"/>
    <w:link w:val="696"/>
    <w:uiPriority w:val="99"/>
    <w:qFormat/>
    <w:rPr>
      <w:rFonts w:ascii="Times New Roman" w:hAnsi="Times New Roman" w:eastAsia="宋体" w:cs="Times New Roman"/>
      <w:sz w:val="18"/>
      <w:szCs w:val="18"/>
    </w:rPr>
  </w:style>
  <w:style w:type="character" w:styleId="740" w:customStyle="1">
    <w:name w:val="正文文本缩进 3 Char"/>
    <w:link w:val="701"/>
    <w:uiPriority w:val="0"/>
    <w:qFormat/>
    <w:rPr>
      <w:rFonts w:ascii="Arial" w:hAnsi="Arial" w:eastAsia="仿宋_GB2312" w:cs="Arial"/>
      <w:color w:val="ffff00"/>
      <w:sz w:val="32"/>
      <w:szCs w:val="32"/>
    </w:rPr>
  </w:style>
  <w:style w:type="character" w:styleId="741" w:customStyle="1">
    <w:name w:val="正文文本 2 Char"/>
    <w:link w:val="705"/>
    <w:uiPriority w:val="0"/>
    <w:qFormat/>
    <w:rPr>
      <w:rFonts w:ascii="楷体_GB2312" w:hAnsi="Times New Roman" w:eastAsia="楷体_GB2312" w:cs="Times New Roman"/>
      <w:sz w:val="28"/>
      <w:szCs w:val="28"/>
    </w:rPr>
  </w:style>
  <w:style w:type="character" w:styleId="742" w:customStyle="1">
    <w:name w:val="批注主题 Char"/>
    <w:link w:val="708"/>
    <w:uiPriority w:val="0"/>
    <w:semiHidden/>
    <w:qFormat/>
    <w:rPr>
      <w:rFonts w:ascii="Times New Roman" w:hAnsi="Times New Roman" w:eastAsia="宋体" w:cs="Times New Roman"/>
      <w:b/>
      <w:bCs/>
      <w:szCs w:val="21"/>
    </w:rPr>
  </w:style>
  <w:style w:type="character" w:styleId="743" w:customStyle="1">
    <w:name w:val="正文首行缩进 Char"/>
    <w:link w:val="709"/>
    <w:uiPriority w:val="0"/>
    <w:qFormat/>
    <w:rPr>
      <w:rFonts w:ascii="仿宋_GB2312" w:hAnsi="Times New Roman" w:eastAsia="仿宋_GB2312" w:cs="Times New Roman"/>
      <w:sz w:val="30"/>
      <w:szCs w:val="30"/>
    </w:rPr>
  </w:style>
  <w:style w:type="character" w:styleId="744" w:customStyle="1">
    <w:name w:val="正文首行缩进 2 Char"/>
    <w:link w:val="710"/>
    <w:uiPriority w:val="0"/>
    <w:qFormat/>
    <w:rPr>
      <w:rFonts w:ascii="宋体" w:hAnsi="宋体" w:eastAsia="宋体" w:cs="Times New Roman"/>
      <w:sz w:val="32"/>
      <w:szCs w:val="20"/>
    </w:rPr>
  </w:style>
  <w:style w:type="character" w:styleId="745" w:customStyle="1">
    <w:name w:val="font5 Char"/>
    <w:uiPriority w:val="0"/>
    <w:qFormat/>
    <w:rPr>
      <w:rFonts w:ascii="宋体" w:hAnsi="宋体" w:eastAsia="宋体"/>
      <w:sz w:val="28"/>
      <w:szCs w:val="28"/>
      <w:lang w:val="en-US" w:eastAsia="zh-CN" w:bidi="ar-SA"/>
    </w:rPr>
  </w:style>
  <w:style w:type="character" w:styleId="746" w:customStyle="1">
    <w:name w:val="二级目录 Char"/>
    <w:link w:val="747"/>
    <w:uiPriority w:val="0"/>
    <w:qFormat/>
    <w:rPr>
      <w:b/>
      <w:sz w:val="30"/>
      <w:szCs w:val="28"/>
      <w:lang w:val="en-US" w:eastAsia="zh-CN" w:bidi="ar-SA"/>
    </w:rPr>
  </w:style>
  <w:style w:type="paragraph" w:styleId="747" w:customStyle="1">
    <w:name w:val="二级目录"/>
    <w:next w:val="666"/>
    <w:link w:val="746"/>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748" w:customStyle="1">
    <w:name w:val="列出段落 Char"/>
    <w:link w:val="749"/>
    <w:uiPriority w:val="0"/>
    <w:qFormat/>
    <w:rPr>
      <w:rFonts w:ascii="Calibri" w:hAnsi="Calibri"/>
      <w:sz w:val="24"/>
      <w:szCs w:val="24"/>
      <w:lang w:eastAsia="en-US" w:bidi="en-US"/>
    </w:rPr>
  </w:style>
  <w:style w:type="paragraph" w:styleId="749" w:customStyle="1">
    <w:name w:val="列出段落1"/>
    <w:basedOn w:val="666"/>
    <w:link w:val="748"/>
    <w:uiPriority w:val="0"/>
    <w:qFormat/>
    <w:pPr>
      <w:contextualSpacing/>
      <w:ind w:left="720"/>
      <w:jc w:val="left"/>
      <w:widowControl/>
    </w:pPr>
    <w:rPr>
      <w:rFonts w:ascii="Calibri" w:hAnsi="Calibri"/>
      <w:sz w:val="24"/>
      <w:szCs w:val="24"/>
      <w:lang w:eastAsia="en-US" w:bidi="en-US"/>
    </w:rPr>
  </w:style>
  <w:style w:type="paragraph" w:styleId="750" w:customStyle="1">
    <w:name w:val="Body Text(ch)"/>
    <w:basedOn w:val="666"/>
    <w:next w:val="684"/>
    <w:uiPriority w:val="0"/>
    <w:qFormat/>
    <w:pPr>
      <w:spacing w:after="120"/>
    </w:pPr>
    <w:rPr>
      <w:rFonts w:ascii="宋体" w:hAnsi="Arial"/>
      <w:bCs/>
      <w:iCs/>
      <w:szCs w:val="24"/>
    </w:rPr>
  </w:style>
  <w:style w:type="paragraph" w:styleId="751" w:customStyle="1">
    <w:name w:val="xl27"/>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2" w:customStyle="1">
    <w:name w:val="xl26"/>
    <w:basedOn w:val="6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3" w:customStyle="1">
    <w:name w:val="Char"/>
    <w:basedOn w:val="666"/>
    <w:uiPriority w:val="0"/>
    <w:qFormat/>
    <w:pPr>
      <w:ind w:firstLine="200"/>
      <w:tabs>
        <w:tab w:val="left" w:pos="360" w:leader="none"/>
      </w:tabs>
    </w:pPr>
    <w:rPr>
      <w:sz w:val="28"/>
      <w:szCs w:val="30"/>
    </w:rPr>
  </w:style>
  <w:style w:type="paragraph" w:styleId="754" w:customStyle="1">
    <w:name w:val=" Char"/>
    <w:basedOn w:val="681"/>
    <w:uiPriority w:val="0"/>
    <w:qFormat/>
    <w:rPr>
      <w:rFonts w:ascii="Tahoma" w:hAnsi="Tahoma"/>
      <w:sz w:val="24"/>
      <w:szCs w:val="24"/>
    </w:rPr>
  </w:style>
  <w:style w:type="paragraph" w:styleId="755"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756" w:customStyle="1">
    <w:name w:val="table_lines"/>
    <w:basedOn w:val="666"/>
    <w:uiPriority w:val="0"/>
    <w:qFormat/>
    <w:pPr>
      <w:jc w:val="left"/>
      <w:widowControl/>
    </w:pPr>
    <w:rPr>
      <w:sz w:val="20"/>
      <w:szCs w:val="20"/>
      <w:lang w:val="de-DE" w:eastAsia="de-DE"/>
    </w:rPr>
  </w:style>
  <w:style w:type="paragraph" w:styleId="75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58" w:customStyle="1">
    <w:name w:val="font7"/>
    <w:basedOn w:val="666"/>
    <w:uiPriority w:val="0"/>
    <w:qFormat/>
    <w:pPr>
      <w:jc w:val="left"/>
      <w:spacing w:before="100" w:beforeAutospacing="1" w:after="100" w:afterAutospacing="1"/>
      <w:widowControl/>
    </w:pPr>
    <w:rPr>
      <w:rFonts w:hint="eastAsia" w:ascii="宋体" w:hAnsi="宋体"/>
      <w:sz w:val="18"/>
      <w:szCs w:val="18"/>
    </w:rPr>
  </w:style>
  <w:style w:type="paragraph" w:styleId="759" w:customStyle="1">
    <w:name w:val=" Char Char Char Char"/>
    <w:basedOn w:val="681"/>
    <w:uiPriority w:val="0"/>
    <w:qFormat/>
    <w:pPr>
      <w:spacing w:line="360" w:lineRule="auto"/>
    </w:pPr>
    <w:rPr>
      <w:rFonts w:ascii="Tahoma" w:hAnsi="Tahoma"/>
      <w:sz w:val="24"/>
      <w:szCs w:val="24"/>
    </w:rPr>
  </w:style>
  <w:style w:type="paragraph" w:styleId="760">
    <w:name w:val="List Paragraph"/>
    <w:basedOn w:val="666"/>
    <w:uiPriority w:val="99"/>
    <w:qFormat/>
    <w:pPr>
      <w:contextualSpacing/>
      <w:ind w:left="720"/>
      <w:jc w:val="left"/>
      <w:widowControl/>
    </w:pPr>
    <w:rPr>
      <w:rFonts w:ascii="Calibri" w:hAnsi="Calibri"/>
      <w:sz w:val="24"/>
      <w:szCs w:val="24"/>
      <w:lang w:eastAsia="en-US" w:bidi="en-US"/>
    </w:rPr>
  </w:style>
  <w:style w:type="paragraph" w:styleId="761" w:customStyle="1">
    <w:name w:val="4"/>
    <w:basedOn w:val="666"/>
    <w:next w:val="701"/>
    <w:uiPriority w:val="0"/>
    <w:qFormat/>
    <w:pPr>
      <w:ind w:firstLine="420"/>
      <w:spacing w:line="360" w:lineRule="auto"/>
    </w:pPr>
    <w:rPr>
      <w:color w:val="ff0000"/>
      <w:sz w:val="24"/>
      <w:szCs w:val="24"/>
    </w:rPr>
  </w:style>
  <w:style w:type="paragraph" w:styleId="762" w:customStyle="1">
    <w:name w:val="普通 (Web)"/>
    <w:basedOn w:val="666"/>
    <w:uiPriority w:val="0"/>
    <w:qFormat/>
    <w:pPr>
      <w:jc w:val="left"/>
      <w:spacing w:before="100" w:beforeAutospacing="1" w:after="100" w:afterAutospacing="1"/>
      <w:widowControl/>
    </w:pPr>
    <w:rPr>
      <w:rFonts w:ascii="宋体" w:hAnsi="宋体"/>
      <w:sz w:val="24"/>
      <w:szCs w:val="24"/>
    </w:rPr>
  </w:style>
  <w:style w:type="paragraph" w:styleId="763" w:customStyle="1">
    <w:name w:val=" Char Char Char Char Char Char Char Char Char Char"/>
    <w:basedOn w:val="666"/>
    <w:uiPriority w:val="0"/>
    <w:qFormat/>
    <w:pPr>
      <w:spacing w:line="360" w:lineRule="auto"/>
    </w:pPr>
    <w:rPr>
      <w:sz w:val="24"/>
      <w:szCs w:val="20"/>
    </w:rPr>
  </w:style>
  <w:style w:type="paragraph" w:styleId="764" w:customStyle="1">
    <w:name w:val="样式1"/>
    <w:basedOn w:val="666"/>
    <w:uiPriority w:val="0"/>
    <w:qFormat/>
    <w:pPr>
      <w:numPr>
        <w:ilvl w:val="0"/>
        <w:numId w:val="3"/>
      </w:numPr>
    </w:pPr>
    <w:rPr>
      <w:rFonts w:ascii="宋体" w:hAnsi="宋体"/>
    </w:rPr>
  </w:style>
  <w:style w:type="paragraph" w:styleId="765" w:customStyle="1">
    <w:name w:val="font6"/>
    <w:basedOn w:val="666"/>
    <w:uiPriority w:val="0"/>
    <w:qFormat/>
    <w:pPr>
      <w:jc w:val="left"/>
      <w:spacing w:before="100" w:beforeAutospacing="1" w:after="100" w:afterAutospacing="1"/>
      <w:widowControl/>
    </w:pPr>
    <w:rPr>
      <w:rFonts w:hint="eastAsia" w:ascii="宋体" w:hAnsi="宋体"/>
      <w:sz w:val="28"/>
      <w:szCs w:val="28"/>
      <w:u w:val="single"/>
    </w:rPr>
  </w:style>
  <w:style w:type="paragraph" w:styleId="766" w:customStyle="1">
    <w:name w:val="xl25"/>
    <w:basedOn w:val="6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7"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8" w:customStyle="1">
    <w:name w:val="标题3"/>
    <w:basedOn w:val="666"/>
    <w:next w:val="666"/>
    <w:uiPriority w:val="0"/>
    <w:qFormat/>
    <w:pPr>
      <w:ind w:firstLine="624"/>
      <w:spacing w:line="590" w:lineRule="atLeast"/>
    </w:pPr>
    <w:rPr>
      <w:rFonts w:ascii="方正黑体_GBK" w:eastAsia="方正黑体_GBK"/>
      <w:sz w:val="32"/>
      <w:szCs w:val="32"/>
    </w:rPr>
  </w:style>
  <w:style w:type="paragraph" w:styleId="769" w:customStyle="1">
    <w:name w:val="xl24"/>
    <w:basedOn w:val="6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0" w:customStyle="1">
    <w:name w:val="xl29"/>
    <w:basedOn w:val="66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1" w:customStyle="1">
    <w:name w:val="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772" w:customStyle="1">
    <w:name w:val="xl28"/>
    <w:basedOn w:val="66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73" w:customStyle="1">
    <w:name w:val=" 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774" w:customStyle="1">
    <w:name w:val="xl30"/>
    <w:basedOn w:val="666"/>
    <w:uiPriority w:val="0"/>
    <w:qFormat/>
    <w:pPr>
      <w:jc w:val="center"/>
      <w:spacing w:before="100" w:beforeAutospacing="1" w:after="100" w:afterAutospacing="1"/>
      <w:widowControl/>
    </w:pPr>
    <w:rPr>
      <w:rFonts w:ascii="宋体" w:hAnsi="宋体"/>
      <w:b/>
      <w:bCs/>
      <w:sz w:val="36"/>
      <w:szCs w:val="36"/>
    </w:rPr>
  </w:style>
  <w:style w:type="paragraph" w:styleId="775" w:customStyle="1">
    <w:name w:val="Char Char Char Char"/>
    <w:basedOn w:val="681"/>
    <w:uiPriority w:val="0"/>
    <w:qFormat/>
    <w:pPr>
      <w:spacing w:line="360" w:lineRule="auto"/>
    </w:pPr>
    <w:rPr>
      <w:rFonts w:ascii="Tahoma" w:hAnsi="Tahoma"/>
      <w:sz w:val="24"/>
      <w:szCs w:val="24"/>
    </w:rPr>
  </w:style>
  <w:style w:type="paragraph" w:styleId="776" w:customStyle="1">
    <w:name w:val="table_1stline"/>
    <w:basedOn w:val="666"/>
    <w:uiPriority w:val="0"/>
    <w:qFormat/>
    <w:pPr>
      <w:jc w:val="left"/>
      <w:spacing w:before="120"/>
      <w:widowControl/>
    </w:pPr>
    <w:rPr>
      <w:bCs/>
      <w:sz w:val="20"/>
      <w:szCs w:val="20"/>
      <w:lang w:val="de-DE" w:eastAsia="de-DE"/>
    </w:rPr>
  </w:style>
  <w:style w:type="paragraph" w:styleId="777" w:customStyle="1">
    <w:name w:val="font5"/>
    <w:basedOn w:val="666"/>
    <w:uiPriority w:val="0"/>
    <w:qFormat/>
    <w:pPr>
      <w:jc w:val="left"/>
      <w:spacing w:before="100" w:beforeAutospacing="1" w:after="100" w:afterAutospacing="1"/>
      <w:widowControl/>
    </w:pPr>
    <w:rPr>
      <w:rFonts w:hint="eastAsia" w:ascii="宋体" w:hAnsi="宋体"/>
      <w:sz w:val="28"/>
      <w:szCs w:val="28"/>
    </w:rPr>
  </w:style>
  <w:style w:type="paragraph" w:styleId="778" w:customStyle="1">
    <w:name w:val="标题1"/>
    <w:basedOn w:val="666"/>
    <w:next w:val="6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79" w:customStyle="1">
    <w:name w:val="_Style 113"/>
    <w:uiPriority w:val="99"/>
    <w:semiHidden/>
    <w:qFormat/>
    <w:rPr>
      <w:rFonts w:ascii="Times New Roman" w:hAnsi="Times New Roman" w:eastAsia="宋体" w:cs="Times New Roman"/>
      <w:sz w:val="21"/>
      <w:szCs w:val="21"/>
      <w:lang w:val="en-US" w:eastAsia="zh-CN" w:bidi="ar-SA"/>
    </w:rPr>
  </w:style>
  <w:style w:type="paragraph" w:styleId="78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1" w:customStyle="1">
    <w:name w:val="普通文字"/>
    <w:basedOn w:val="666"/>
    <w:next w:val="666"/>
    <w:uiPriority w:val="99"/>
    <w:qFormat/>
    <w:rPr>
      <w:rFonts w:ascii="宋体" w:hAnsi="Times New Roman" w:eastAsia="宋体" w:cs="Times New Roman"/>
      <w:sz w:val="24"/>
      <w:szCs w:val="20"/>
      <w:u w:val="none"/>
    </w:rPr>
  </w:style>
  <w:style w:type="paragraph" w:styleId="782" w:customStyle="1">
    <w:name w:val="目录 111"/>
    <w:basedOn w:val="666"/>
    <w:next w:val="666"/>
    <w:uiPriority w:val="39"/>
    <w:unhideWhenUsed/>
    <w:qFormat/>
    <w:pPr>
      <w:jc w:val="left"/>
      <w:spacing w:after="100" w:line="259" w:lineRule="auto"/>
      <w:widowControl/>
    </w:pPr>
    <w:rPr>
      <w:rFonts w:ascii="Calibri" w:hAnsi="Calibri" w:eastAsia="宋体"/>
      <w:sz w:val="22"/>
      <w:szCs w:val="22"/>
    </w:rPr>
  </w:style>
  <w:style w:type="paragraph" w:styleId="783" w:customStyle="1">
    <w:name w:val="正文文本1"/>
    <w:basedOn w:val="666"/>
    <w:uiPriority w:val="0"/>
    <w:qFormat/>
    <w:rPr>
      <w:rFonts w:ascii="楷体_GB2312" w:hAnsi="Arial" w:eastAsia="楷体_GB2312"/>
      <w:sz w:val="28"/>
      <w:szCs w:val="28"/>
    </w:rPr>
  </w:style>
  <w:style w:type="numbering" w:styleId="22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512</cp:revision>
  <dcterms:created xsi:type="dcterms:W3CDTF">2023-03-16T02:16:00Z</dcterms:created>
  <dcterms:modified xsi:type="dcterms:W3CDTF">2026-05-07T06:47:05Z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763A6F1A0BAE45AD969FC3FCEC211CD2_13</vt:lpwstr>
  </property>
  <property fmtid="{D5CDD505-2E9C-101B-9397-08002B2CF9AE}" pid="4" name="KSOTemplateDocerSaveRecord">
    <vt:lpwstr>eyJoZGlkIjoiZDNlZWU0NjdiZWMxZjQzMGU3OTA0OTQ2MDA1OTFiMGYiLCJ1c2VySWQiOiI2NDEzMTczMjkifQ==</vt:lpwstr>
  </property>
</Properties>
</file>